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内蒙古自治区</w:t>
      </w:r>
      <w:r>
        <w:rPr>
          <w:rFonts w:ascii="仿宋_GB2312" w:hAnsi="Times New Roman" w:eastAsia="仿宋_GB2312" w:cs="Times New Roman"/>
          <w:b/>
          <w:kern w:val="44"/>
          <w:sz w:val="32"/>
          <w:szCs w:val="32"/>
        </w:rPr>
        <w:t>高速公路车型</w:t>
      </w: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分类</w:t>
      </w:r>
      <w:r>
        <w:rPr>
          <w:rFonts w:ascii="仿宋_GB2312" w:hAnsi="Times New Roman" w:eastAsia="仿宋_GB2312" w:cs="Times New Roman"/>
          <w:b/>
          <w:kern w:val="44"/>
          <w:sz w:val="32"/>
          <w:szCs w:val="32"/>
        </w:rPr>
        <w:t>及通行费收费标准</w:t>
      </w:r>
    </w:p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32"/>
          <w:szCs w:val="32"/>
        </w:rPr>
      </w:pPr>
      <w:bookmarkStart w:id="0" w:name="_GoBack"/>
      <w:bookmarkEnd w:id="0"/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51"/>
        <w:gridCol w:w="3328"/>
        <w:gridCol w:w="413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类别</w:t>
            </w:r>
          </w:p>
        </w:tc>
        <w:tc>
          <w:tcPr>
            <w:tcW w:w="48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车型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及规格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高速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公路车辆通行费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收费</w:t>
            </w:r>
            <w:r>
              <w:rPr>
                <w:rFonts w:ascii="宋体" w:cs="宋体"/>
                <w:sz w:val="22"/>
                <w:szCs w:val="21"/>
                <w:lang w:val="zh-CN"/>
              </w:rPr>
              <w:t>标准（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元/车</w:t>
            </w:r>
            <w:r>
              <w:rPr>
                <w:rFonts w:ascii="宋体" w:cs="宋体"/>
                <w:sz w:val="22"/>
                <w:szCs w:val="21"/>
                <w:lang w:val="zh-CN"/>
              </w:rPr>
              <w:t>·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公里</w:t>
            </w:r>
            <w:r>
              <w:rPr>
                <w:rFonts w:ascii="宋体" w:cs="宋体"/>
                <w:sz w:val="22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座以下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2轴（车长小于6000mm且最大允许总质量小于4500Kg）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.4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2类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10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2轴（车长不小于6000mm且最大允许总质量不小于4500Kg）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.4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20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3轴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.5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4类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40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座以上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4轴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0</w:t>
            </w:r>
            <w:r>
              <w:rPr>
                <w:rFonts w:ascii="宋体" w:cs="宋体"/>
                <w:sz w:val="22"/>
                <w:szCs w:val="21"/>
                <w:lang w:val="zh-CN"/>
              </w:rPr>
              <w:t>.7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5类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5轴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6类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6轴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1.94</w:t>
            </w:r>
          </w:p>
        </w:tc>
      </w:tr>
    </w:tbl>
    <w:p>
      <w:r>
        <w:rPr>
          <w:rFonts w:hint="eastAsia" w:ascii="仿宋_GB2312" w:hAnsi="仿宋" w:eastAsia="仿宋_GB2312"/>
          <w:bCs/>
          <w:sz w:val="28"/>
          <w:szCs w:val="32"/>
        </w:rPr>
        <w:t>备注</w:t>
      </w:r>
      <w:r>
        <w:rPr>
          <w:rFonts w:ascii="仿宋_GB2312" w:hAnsi="仿宋" w:eastAsia="仿宋_GB2312"/>
          <w:bCs/>
          <w:sz w:val="28"/>
          <w:szCs w:val="32"/>
        </w:rPr>
        <w:t>：符合优化法律法规规定在高速公路上行驶的二轮摩托车</w:t>
      </w:r>
      <w:r>
        <w:rPr>
          <w:rFonts w:hint="eastAsia" w:ascii="仿宋_GB2312" w:hAnsi="仿宋" w:eastAsia="仿宋_GB2312"/>
          <w:bCs/>
          <w:sz w:val="28"/>
          <w:szCs w:val="32"/>
        </w:rPr>
        <w:t>比照</w:t>
      </w:r>
      <w:r>
        <w:rPr>
          <w:rFonts w:ascii="仿宋_GB2312" w:hAnsi="仿宋" w:eastAsia="仿宋_GB2312"/>
          <w:bCs/>
          <w:sz w:val="28"/>
          <w:szCs w:val="32"/>
        </w:rPr>
        <w:t>小型客车通行费收费非标准计收通行费。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2020-11-19T01:21:24Z</dcterms:created>
  <dc:creator>Administrator</dc:creator>
  <cp:lastModifiedBy>吃饭选择困难综合征</cp:lastModifiedBy>
  <dcterms:modified xsi:type="dcterms:W3CDTF">2020-11-19T01:21:42Z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