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准格尔至兴和</w:t>
      </w: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  <w:lang w:val="en-US" w:eastAsia="zh-CN"/>
        </w:rPr>
        <w:t>重载</w:t>
      </w: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高速公路从黄河至和林南收费站段车型分类和通行费收费标准</w:t>
      </w:r>
      <w:bookmarkEnd w:id="0"/>
    </w:p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24"/>
          <w:szCs w:val="24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（即前房子收费站至和林南收费站、大陆东收费站至和林南收费站、黄河北收费站至和林南收费站）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51"/>
        <w:gridCol w:w="3328"/>
        <w:gridCol w:w="413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类别</w:t>
            </w:r>
          </w:p>
        </w:tc>
        <w:tc>
          <w:tcPr>
            <w:tcW w:w="48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车型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及规格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高速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公路车辆通行费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收费</w:t>
            </w:r>
            <w:r>
              <w:rPr>
                <w:rFonts w:ascii="宋体" w:cs="宋体"/>
                <w:sz w:val="22"/>
                <w:szCs w:val="21"/>
                <w:lang w:val="zh-CN"/>
              </w:rPr>
              <w:t>标准（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元/车</w:t>
            </w:r>
            <w:r>
              <w:rPr>
                <w:rFonts w:ascii="宋体" w:cs="宋体"/>
                <w:sz w:val="22"/>
                <w:szCs w:val="21"/>
                <w:lang w:val="zh-CN"/>
              </w:rPr>
              <w:t>·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公里</w:t>
            </w:r>
            <w:r>
              <w:rPr>
                <w:rFonts w:ascii="宋体" w:cs="宋体"/>
                <w:sz w:val="22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座以下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2轴（车长小于6000mm且最大允许总质量小于4500Kg）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.4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2类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10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2轴（车长不小于6000mm且最大允许总质量不小于4500Kg）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.4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20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3轴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.5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4类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40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座以上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4轴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.7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5类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5轴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6类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6轴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2.50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2020-11-19T01:21:52Z</dcterms:created>
  <dc:creator>Administrator</dc:creator>
  <cp:lastModifiedBy>吃饭选择困难综合征</cp:lastModifiedBy>
  <dcterms:modified xsi:type="dcterms:W3CDTF">2020-11-19T01:21:58Z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