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0" w:firstLineChars="0"/>
        <w:contextualSpacing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ap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aps/>
          <w:sz w:val="44"/>
          <w:szCs w:val="44"/>
        </w:rPr>
        <w:t>服务指南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eastAsia" w:ascii="仿宋_GB2312" w:hAnsi="仿宋_GB2312" w:eastAsia="仿宋_GB2312" w:cs="仿宋_GB2312"/>
          <w:b/>
          <w:cap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0" w:firstLineChars="200"/>
        <w:contextualSpacing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aps/>
          <w:sz w:val="32"/>
          <w:szCs w:val="32"/>
          <w:lang w:val="en-US" w:eastAsia="zh-CN"/>
        </w:rPr>
        <w:t>一、申请条件</w:t>
      </w:r>
      <w:r>
        <w:rPr>
          <w:rFonts w:hint="eastAsia" w:ascii="黑体" w:hAnsi="黑体" w:eastAsia="黑体" w:cs="黑体"/>
          <w:b w:val="0"/>
          <w:bCs/>
          <w:cap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申请公路养护作业资质的单位应当是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在内蒙古自治区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依法登记注册的企业法人，且满足《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内蒙古自治区公路养护作业单位资质管理实施细则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》规定的人员、技术设备、财务状况、业绩条件。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公路养护作业单位资质申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企业法定代表人身份文件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企业技术人员、技术设备及从业经历等相关材料。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详见《内蒙古自治区公路养护作业单位资质管理实施细则》。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700" w:lineRule="exact"/>
        <w:ind w:left="0" w:leftChars="0" w:firstLine="640" w:firstLineChars="200"/>
        <w:contextualSpacing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ap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aps/>
          <w:sz w:val="32"/>
          <w:szCs w:val="32"/>
        </w:rPr>
        <w:t>办理方式</w:t>
      </w:r>
      <w:r>
        <w:rPr>
          <w:rFonts w:hint="eastAsia" w:ascii="黑体" w:hAnsi="黑体" w:eastAsia="黑体" w:cs="黑体"/>
          <w:b w:val="0"/>
          <w:bCs/>
          <w:cap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公路养护作业单位资质全程在“内蒙古自治区公路养护作业单位资质管理系统”中网上申办，申报入口“内蒙古自治区交通运输厅官网—推荐阅读—公路养护作业单位资质申请”，网址“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"http://1.30.161.137:8001/hmeq/users/user_login"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http://1.30.161.137:8001/hmeq/users/user_login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eastAsia" w:ascii="黑体" w:hAnsi="黑体" w:eastAsia="黑体" w:cs="黑体"/>
          <w:b w:val="0"/>
          <w:bCs/>
          <w:cap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ap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aps/>
          <w:sz w:val="32"/>
          <w:szCs w:val="32"/>
        </w:rPr>
        <w:t>、办理流程：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（一）申请：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单位在资质管理系统中提交申请材料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受理：许可机关对申请材料进行审查，符合受理条件的，通过线上受理。申请人应在系统内及时关注受理状态。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许可机关组织专家审查，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的时间不计算在许可期限内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最长不得超过60日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并将专家审查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结果在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门户网站公示。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）许可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自收到完整齐备的申请材料之日起20个工作日（专家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时间不计算在内）内作出许可决定。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）颁发证书：自做出决定之日起10个工作日内向申请人颁发相应的资质证书。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eastAsia" w:ascii="黑体" w:hAnsi="黑体" w:eastAsia="黑体" w:cs="黑体"/>
          <w:b w:val="0"/>
          <w:bCs/>
          <w:cap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ap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aps/>
          <w:sz w:val="32"/>
          <w:szCs w:val="32"/>
        </w:rPr>
        <w:t>收费依据及标准：</w:t>
      </w:r>
      <w:r>
        <w:rPr>
          <w:rFonts w:hint="eastAsia" w:ascii="仿宋_GB2312" w:hAnsi="仿宋_GB2312" w:eastAsia="仿宋_GB2312" w:cs="仿宋_GB2312"/>
          <w:b w:val="0"/>
          <w:bCs/>
          <w:caps/>
          <w:sz w:val="32"/>
          <w:szCs w:val="32"/>
        </w:rPr>
        <w:t>不收费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ap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caps/>
          <w:sz w:val="32"/>
          <w:szCs w:val="32"/>
        </w:rPr>
        <w:t>查询：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自受理之日起，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可通过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val="en-US" w:eastAsia="zh-CN"/>
        </w:rPr>
        <w:t>资质管理系统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自主查询审批状态和结果。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3"/>
        <w:contextualSpacing/>
        <w:textAlignment w:val="auto"/>
        <w:outlineLvl w:val="0"/>
        <w:rPr>
          <w:rFonts w:hint="eastAsia" w:ascii="黑体" w:hAnsi="黑体" w:eastAsia="黑体" w:cs="黑体"/>
          <w:b w:val="0"/>
          <w:bCs/>
          <w:cap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/>
          <w:sz w:val="32"/>
          <w:szCs w:val="32"/>
          <w:lang w:val="en-US" w:eastAsia="zh-CN"/>
        </w:rPr>
        <w:t>七、咨询电话：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0"/>
        <w:contextualSpacing/>
        <w:textAlignment w:val="auto"/>
        <w:outlineLvl w:val="0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val="en-US" w:eastAsia="zh-CN"/>
        </w:rPr>
        <w:t>内蒙古自治区交通运输厅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：0471-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val="en-US" w:eastAsia="zh-CN"/>
        </w:rPr>
        <w:t>6267737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0"/>
        <w:contextualSpacing/>
        <w:textAlignment w:val="auto"/>
        <w:outlineLvl w:val="0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val="en-US" w:eastAsia="zh-CN"/>
        </w:rPr>
        <w:t>内蒙古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自治区交通运输事业发展中心：0471-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val="en-US" w:eastAsia="zh-CN"/>
        </w:rPr>
        <w:t>6962049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2FFD"/>
    <w:rsid w:val="1AAB3EE0"/>
    <w:rsid w:val="210E39CB"/>
    <w:rsid w:val="224A2556"/>
    <w:rsid w:val="272F7724"/>
    <w:rsid w:val="281024A2"/>
    <w:rsid w:val="323D1A1A"/>
    <w:rsid w:val="43340B26"/>
    <w:rsid w:val="599728DE"/>
    <w:rsid w:val="5C8B7740"/>
    <w:rsid w:val="60B63705"/>
    <w:rsid w:val="663E6DD7"/>
    <w:rsid w:val="6BFD60A4"/>
    <w:rsid w:val="6E63471C"/>
    <w:rsid w:val="746F0C28"/>
    <w:rsid w:val="74C31CD2"/>
    <w:rsid w:val="79A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2022-02-15T03:13:00Z</dcterms:created>
  <dc:creator>glj</dc:creator>
  <cp:lastModifiedBy>丫丫</cp:lastModifiedBy>
  <dcterms:modified xsi:type="dcterms:W3CDTF">2024-09-27T07:48:57Z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DF9ACAA123DB4AF18B9C39890240E3AD</vt:lpwstr>
  </property>
</Properties>
</file>