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FF26E">
      <w:pPr>
        <w:pStyle w:val="3"/>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rPr>
        <w:t>附件</w:t>
      </w:r>
    </w:p>
    <w:tbl>
      <w:tblPr>
        <w:tblStyle w:val="4"/>
        <w:tblW w:w="0" w:type="auto"/>
        <w:tblInd w:w="93" w:type="dxa"/>
        <w:tblLayout w:type="fixed"/>
        <w:tblCellMar>
          <w:top w:w="0" w:type="dxa"/>
          <w:left w:w="108" w:type="dxa"/>
          <w:bottom w:w="0" w:type="dxa"/>
          <w:right w:w="108" w:type="dxa"/>
        </w:tblCellMar>
      </w:tblPr>
      <w:tblGrid>
        <w:gridCol w:w="752"/>
        <w:gridCol w:w="1195"/>
        <w:gridCol w:w="1710"/>
        <w:gridCol w:w="1096"/>
        <w:gridCol w:w="5249"/>
        <w:gridCol w:w="1405"/>
        <w:gridCol w:w="986"/>
        <w:gridCol w:w="1428"/>
        <w:gridCol w:w="923"/>
      </w:tblGrid>
      <w:tr w14:paraId="0FB212BB">
        <w:tblPrEx>
          <w:tblCellMar>
            <w:top w:w="0" w:type="dxa"/>
            <w:left w:w="108" w:type="dxa"/>
            <w:bottom w:w="0" w:type="dxa"/>
            <w:right w:w="108" w:type="dxa"/>
          </w:tblCellMar>
        </w:tblPrEx>
        <w:trPr>
          <w:trHeight w:val="540" w:hRule="atLeast"/>
        </w:trPr>
        <w:tc>
          <w:tcPr>
            <w:tcW w:w="14744" w:type="dxa"/>
            <w:gridSpan w:val="9"/>
            <w:tcBorders>
              <w:top w:val="nil"/>
              <w:left w:val="nil"/>
              <w:bottom w:val="nil"/>
              <w:right w:val="nil"/>
            </w:tcBorders>
            <w:noWrap/>
            <w:vAlign w:val="center"/>
          </w:tcPr>
          <w:p w14:paraId="5D5B6318">
            <w:pPr>
              <w:jc w:val="center"/>
              <w:textAlignment w:val="center"/>
              <w:rPr>
                <w:rFonts w:ascii="方正小标宋简体" w:hAnsi="方正小标宋简体" w:eastAsia="方正小标宋简体" w:cs="方正小标宋简体"/>
                <w:color w:val="000000"/>
                <w:sz w:val="40"/>
                <w:szCs w:val="40"/>
              </w:rPr>
            </w:pPr>
            <w:bookmarkStart w:id="0" w:name="_GoBack"/>
            <w:r>
              <w:rPr>
                <w:rFonts w:hint="eastAsia" w:ascii="方正小标宋简体" w:hAnsi="方正小标宋简体" w:eastAsia="方正小标宋简体" w:cs="方正小标宋简体"/>
                <w:color w:val="000000"/>
                <w:kern w:val="0"/>
                <w:sz w:val="40"/>
                <w:szCs w:val="40"/>
                <w:lang w:bidi="ar"/>
              </w:rPr>
              <w:t>内蒙古自治区800公里以上道路客运班线安全风险评估表</w:t>
            </w:r>
            <w:bookmarkEnd w:id="0"/>
          </w:p>
        </w:tc>
      </w:tr>
      <w:tr w14:paraId="1AAE6AF4">
        <w:tblPrEx>
          <w:tblCellMar>
            <w:top w:w="0" w:type="dxa"/>
            <w:left w:w="108" w:type="dxa"/>
            <w:bottom w:w="0" w:type="dxa"/>
            <w:right w:w="108" w:type="dxa"/>
          </w:tblCellMar>
        </w:tblPrEx>
        <w:trPr>
          <w:trHeight w:val="540" w:hRule="atLeast"/>
        </w:trPr>
        <w:tc>
          <w:tcPr>
            <w:tcW w:w="1947" w:type="dxa"/>
            <w:gridSpan w:val="2"/>
            <w:tcBorders>
              <w:top w:val="nil"/>
              <w:left w:val="nil"/>
              <w:bottom w:val="nil"/>
              <w:right w:val="nil"/>
            </w:tcBorders>
            <w:noWrap/>
            <w:vAlign w:val="center"/>
          </w:tcPr>
          <w:p w14:paraId="2D3EDF81">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企业名称：</w:t>
            </w:r>
          </w:p>
        </w:tc>
        <w:tc>
          <w:tcPr>
            <w:tcW w:w="1710" w:type="dxa"/>
            <w:tcBorders>
              <w:top w:val="nil"/>
              <w:left w:val="nil"/>
              <w:bottom w:val="nil"/>
              <w:right w:val="nil"/>
            </w:tcBorders>
            <w:noWrap/>
            <w:vAlign w:val="center"/>
          </w:tcPr>
          <w:p w14:paraId="5B2D358E">
            <w:pPr>
              <w:jc w:val="center"/>
              <w:rPr>
                <w:rFonts w:hint="eastAsia" w:ascii="仿宋_GB2312" w:hAnsi="仿宋_GB2312" w:eastAsia="仿宋_GB2312" w:cs="仿宋_GB2312"/>
                <w:color w:val="000000"/>
                <w:sz w:val="22"/>
                <w:szCs w:val="22"/>
              </w:rPr>
            </w:pPr>
          </w:p>
        </w:tc>
        <w:tc>
          <w:tcPr>
            <w:tcW w:w="1096" w:type="dxa"/>
            <w:tcBorders>
              <w:top w:val="nil"/>
              <w:left w:val="nil"/>
              <w:bottom w:val="nil"/>
              <w:right w:val="nil"/>
            </w:tcBorders>
            <w:noWrap/>
            <w:vAlign w:val="center"/>
          </w:tcPr>
          <w:p w14:paraId="198AAA43">
            <w:pPr>
              <w:jc w:val="center"/>
              <w:rPr>
                <w:rFonts w:hint="eastAsia" w:ascii="仿宋_GB2312" w:hAnsi="仿宋_GB2312" w:eastAsia="仿宋_GB2312" w:cs="仿宋_GB2312"/>
                <w:color w:val="000000"/>
                <w:sz w:val="22"/>
                <w:szCs w:val="22"/>
              </w:rPr>
            </w:pPr>
          </w:p>
        </w:tc>
        <w:tc>
          <w:tcPr>
            <w:tcW w:w="5249" w:type="dxa"/>
            <w:tcBorders>
              <w:top w:val="nil"/>
              <w:left w:val="nil"/>
              <w:bottom w:val="nil"/>
              <w:right w:val="nil"/>
            </w:tcBorders>
            <w:noWrap/>
            <w:vAlign w:val="center"/>
          </w:tcPr>
          <w:p w14:paraId="5B99F6CB">
            <w:pPr>
              <w:jc w:val="center"/>
              <w:rPr>
                <w:rFonts w:hint="eastAsia" w:ascii="仿宋_GB2312" w:hAnsi="仿宋_GB2312" w:eastAsia="仿宋_GB2312" w:cs="仿宋_GB2312"/>
                <w:color w:val="000000"/>
                <w:sz w:val="22"/>
                <w:szCs w:val="22"/>
              </w:rPr>
            </w:pPr>
          </w:p>
        </w:tc>
        <w:tc>
          <w:tcPr>
            <w:tcW w:w="1405" w:type="dxa"/>
            <w:tcBorders>
              <w:top w:val="nil"/>
              <w:left w:val="nil"/>
              <w:bottom w:val="nil"/>
              <w:right w:val="nil"/>
            </w:tcBorders>
            <w:noWrap/>
            <w:vAlign w:val="center"/>
          </w:tcPr>
          <w:p w14:paraId="262BBB5B">
            <w:pPr>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线路名称:</w:t>
            </w:r>
          </w:p>
        </w:tc>
        <w:tc>
          <w:tcPr>
            <w:tcW w:w="986" w:type="dxa"/>
            <w:tcBorders>
              <w:top w:val="nil"/>
              <w:left w:val="nil"/>
              <w:bottom w:val="nil"/>
              <w:right w:val="nil"/>
            </w:tcBorders>
            <w:noWrap/>
            <w:vAlign w:val="center"/>
          </w:tcPr>
          <w:p w14:paraId="75B4D16D">
            <w:pPr>
              <w:jc w:val="center"/>
              <w:rPr>
                <w:rFonts w:hint="eastAsia" w:ascii="仿宋_GB2312" w:hAnsi="仿宋_GB2312" w:eastAsia="仿宋_GB2312" w:cs="仿宋_GB2312"/>
                <w:color w:val="000000"/>
                <w:sz w:val="22"/>
                <w:szCs w:val="22"/>
              </w:rPr>
            </w:pPr>
          </w:p>
        </w:tc>
        <w:tc>
          <w:tcPr>
            <w:tcW w:w="1428" w:type="dxa"/>
            <w:tcBorders>
              <w:top w:val="nil"/>
              <w:left w:val="nil"/>
              <w:bottom w:val="nil"/>
              <w:right w:val="nil"/>
            </w:tcBorders>
            <w:noWrap/>
            <w:vAlign w:val="center"/>
          </w:tcPr>
          <w:p w14:paraId="331EE4D1">
            <w:pPr>
              <w:jc w:val="center"/>
              <w:rPr>
                <w:rFonts w:hint="eastAsia" w:ascii="仿宋_GB2312" w:hAnsi="仿宋_GB2312" w:eastAsia="仿宋_GB2312" w:cs="仿宋_GB2312"/>
                <w:color w:val="000000"/>
                <w:sz w:val="36"/>
                <w:szCs w:val="36"/>
              </w:rPr>
            </w:pPr>
          </w:p>
        </w:tc>
        <w:tc>
          <w:tcPr>
            <w:tcW w:w="923" w:type="dxa"/>
            <w:tcBorders>
              <w:top w:val="nil"/>
              <w:left w:val="nil"/>
              <w:bottom w:val="nil"/>
              <w:right w:val="nil"/>
            </w:tcBorders>
            <w:noWrap/>
            <w:vAlign w:val="center"/>
          </w:tcPr>
          <w:p w14:paraId="6F78F4E5">
            <w:pPr>
              <w:jc w:val="center"/>
              <w:rPr>
                <w:rFonts w:hint="eastAsia" w:ascii="仿宋_GB2312" w:hAnsi="仿宋_GB2312" w:eastAsia="仿宋_GB2312" w:cs="仿宋_GB2312"/>
                <w:color w:val="000000"/>
                <w:sz w:val="36"/>
                <w:szCs w:val="36"/>
              </w:rPr>
            </w:pPr>
          </w:p>
        </w:tc>
      </w:tr>
      <w:tr w14:paraId="733D43F7">
        <w:tblPrEx>
          <w:tblCellMar>
            <w:top w:w="0" w:type="dxa"/>
            <w:left w:w="108" w:type="dxa"/>
            <w:bottom w:w="0" w:type="dxa"/>
            <w:right w:w="108" w:type="dxa"/>
          </w:tblCellMar>
        </w:tblPrEx>
        <w:trPr>
          <w:trHeight w:val="454"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14:paraId="5AEE7B49">
            <w:pPr>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95" w:type="dxa"/>
            <w:tcBorders>
              <w:top w:val="single" w:color="000000" w:sz="4" w:space="0"/>
              <w:left w:val="single" w:color="000000" w:sz="4" w:space="0"/>
              <w:bottom w:val="single" w:color="000000" w:sz="4" w:space="0"/>
              <w:right w:val="single" w:color="000000" w:sz="4" w:space="0"/>
            </w:tcBorders>
            <w:noWrap/>
            <w:vAlign w:val="center"/>
          </w:tcPr>
          <w:p w14:paraId="59FC6BC7">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一级标准</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B84FFB1">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二级标准</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B649673">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具体分值</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02FCBAED">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154CBE98">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评估方法</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51B255AA">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得分</w:t>
            </w:r>
          </w:p>
        </w:tc>
      </w:tr>
      <w:tr w14:paraId="37F798A2">
        <w:tblPrEx>
          <w:tblCellMar>
            <w:top w:w="0" w:type="dxa"/>
            <w:left w:w="108" w:type="dxa"/>
            <w:bottom w:w="0" w:type="dxa"/>
            <w:right w:w="108" w:type="dxa"/>
          </w:tblCellMar>
        </w:tblPrEx>
        <w:trPr>
          <w:trHeight w:val="1000" w:hRule="atLeast"/>
        </w:trPr>
        <w:tc>
          <w:tcPr>
            <w:tcW w:w="752" w:type="dxa"/>
            <w:vMerge w:val="restart"/>
            <w:tcBorders>
              <w:top w:val="single" w:color="000000" w:sz="4" w:space="0"/>
              <w:left w:val="single" w:color="000000" w:sz="4" w:space="0"/>
              <w:bottom w:val="single" w:color="000000" w:sz="4" w:space="0"/>
              <w:right w:val="single" w:color="000000" w:sz="4" w:space="0"/>
            </w:tcBorders>
            <w:noWrap/>
            <w:vAlign w:val="center"/>
          </w:tcPr>
          <w:p w14:paraId="1FDA8595">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一</w:t>
            </w:r>
          </w:p>
        </w:tc>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DF3F9">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线路</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（10分）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876C3D2">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1.营运里程</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（3分）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05BF81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3</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0E8768D5">
            <w:pPr>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线路里程超过800公里，每超100公里（含）扣1分。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0818B1AD">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按照线路起讫地、中途停靠地客运站点和途经路线，实地核查或使用高德、百度等常用地图导航软件测算。</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58FE368D">
            <w:pPr>
              <w:rPr>
                <w:rFonts w:hint="eastAsia" w:ascii="仿宋_GB2312" w:hAnsi="宋体" w:eastAsia="仿宋_GB2312" w:cs="仿宋_GB2312"/>
                <w:color w:val="000000"/>
                <w:sz w:val="22"/>
                <w:szCs w:val="22"/>
              </w:rPr>
            </w:pPr>
          </w:p>
        </w:tc>
      </w:tr>
      <w:tr w14:paraId="4A2CA0A5">
        <w:tblPrEx>
          <w:tblCellMar>
            <w:top w:w="0" w:type="dxa"/>
            <w:left w:w="108" w:type="dxa"/>
            <w:bottom w:w="0" w:type="dxa"/>
            <w:right w:w="108" w:type="dxa"/>
          </w:tblCellMar>
        </w:tblPrEx>
        <w:trPr>
          <w:trHeight w:val="132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23371D14">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F673F">
            <w:pPr>
              <w:jc w:val="center"/>
              <w:rPr>
                <w:rFonts w:hint="eastAsia" w:ascii="黑体" w:hAnsi="宋体" w:eastAsia="黑体" w:cs="黑体"/>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9534A44">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2.途经高风险路段（3分）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435E68E">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3</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11638E42">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线路途经事故多发地段、特长隧道、特大桥、连续下坡路段等隐患路段，每处扣0.5分。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808169D">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实地核查或者核查申请人提供的线路沿线相关管理部门设置的安全隐患路段的警告标志示意图，并附起点至讫点双程视频录像等实际线路考察情况作为佐证。</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CD47E7E">
            <w:pPr>
              <w:rPr>
                <w:rFonts w:hint="eastAsia" w:ascii="仿宋_GB2312" w:hAnsi="宋体" w:eastAsia="仿宋_GB2312" w:cs="仿宋_GB2312"/>
                <w:color w:val="000000"/>
                <w:sz w:val="22"/>
                <w:szCs w:val="22"/>
              </w:rPr>
            </w:pPr>
          </w:p>
        </w:tc>
      </w:tr>
      <w:tr w14:paraId="2F2B7397">
        <w:tblPrEx>
          <w:tblCellMar>
            <w:top w:w="0" w:type="dxa"/>
            <w:left w:w="108" w:type="dxa"/>
            <w:bottom w:w="0" w:type="dxa"/>
            <w:right w:w="108" w:type="dxa"/>
          </w:tblCellMar>
        </w:tblPrEx>
        <w:trPr>
          <w:trHeight w:val="98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668E42E6">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963FF">
            <w:pPr>
              <w:jc w:val="center"/>
              <w:rPr>
                <w:rFonts w:hint="eastAsia" w:ascii="黑体" w:hAnsi="宋体" w:eastAsia="黑体" w:cs="黑体"/>
                <w:color w:val="000000"/>
                <w:sz w:val="22"/>
                <w:szCs w:val="22"/>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EC9F154">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3.班线运输计划（4分）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B6DB553">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69065714">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单程运营存在夜间经营（22时至次日6时），且近三年内未申请接驳运输的，每多1小时扣1分，小于1小时按1小时计算。多台车辆的累计扣分。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26FF0AF1">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综合经营者运输计划、班次安排和接驳运输审核平台、动态监控系统数据计分。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1DC34584">
            <w:pPr>
              <w:rPr>
                <w:rFonts w:hint="eastAsia" w:ascii="仿宋_GB2312" w:hAnsi="宋体" w:eastAsia="仿宋_GB2312" w:cs="仿宋_GB2312"/>
                <w:color w:val="000000"/>
                <w:sz w:val="22"/>
                <w:szCs w:val="22"/>
              </w:rPr>
            </w:pPr>
          </w:p>
        </w:tc>
      </w:tr>
      <w:tr w14:paraId="76DE3128">
        <w:tblPrEx>
          <w:tblCellMar>
            <w:top w:w="0" w:type="dxa"/>
            <w:left w:w="108" w:type="dxa"/>
            <w:bottom w:w="0" w:type="dxa"/>
            <w:right w:w="108" w:type="dxa"/>
          </w:tblCellMar>
        </w:tblPrEx>
        <w:trPr>
          <w:trHeight w:val="364" w:hRule="atLeast"/>
        </w:trPr>
        <w:tc>
          <w:tcPr>
            <w:tcW w:w="752" w:type="dxa"/>
            <w:vMerge w:val="restart"/>
            <w:tcBorders>
              <w:top w:val="single" w:color="000000" w:sz="4" w:space="0"/>
              <w:left w:val="single" w:color="000000" w:sz="4" w:space="0"/>
              <w:bottom w:val="single" w:color="000000" w:sz="4" w:space="0"/>
              <w:right w:val="single" w:color="000000" w:sz="4" w:space="0"/>
            </w:tcBorders>
            <w:noWrap/>
            <w:vAlign w:val="center"/>
          </w:tcPr>
          <w:p w14:paraId="560BD993">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二</w:t>
            </w:r>
          </w:p>
        </w:tc>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4FD075">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车辆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（20分）</w:t>
            </w:r>
          </w:p>
        </w:tc>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6BBBD6">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4.车辆基本情况（10分）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CF59A8C">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3C2B2D0D">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线路上存在卧铺客车的，此项不得分。</w:t>
            </w:r>
          </w:p>
        </w:tc>
        <w:tc>
          <w:tcPr>
            <w:tcW w:w="381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E2898CB">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综合车辆技术台帐、年审记录和相关证件等情况计分。</w:t>
            </w:r>
          </w:p>
        </w:tc>
        <w:tc>
          <w:tcPr>
            <w:tcW w:w="923" w:type="dxa"/>
            <w:vMerge w:val="restart"/>
            <w:tcBorders>
              <w:top w:val="single" w:color="000000" w:sz="4" w:space="0"/>
              <w:left w:val="single" w:color="000000" w:sz="4" w:space="0"/>
              <w:bottom w:val="single" w:color="000000" w:sz="4" w:space="0"/>
              <w:right w:val="single" w:color="000000" w:sz="4" w:space="0"/>
            </w:tcBorders>
            <w:noWrap/>
            <w:vAlign w:val="center"/>
          </w:tcPr>
          <w:p w14:paraId="61A32B53">
            <w:pPr>
              <w:jc w:val="center"/>
              <w:rPr>
                <w:rFonts w:hint="eastAsia" w:ascii="仿宋_GB2312" w:hAnsi="宋体" w:eastAsia="仿宋_GB2312" w:cs="仿宋_GB2312"/>
                <w:color w:val="000000"/>
                <w:sz w:val="22"/>
                <w:szCs w:val="22"/>
              </w:rPr>
            </w:pPr>
          </w:p>
        </w:tc>
      </w:tr>
      <w:tr w14:paraId="5B633003">
        <w:tblPrEx>
          <w:tblCellMar>
            <w:top w:w="0" w:type="dxa"/>
            <w:left w:w="108" w:type="dxa"/>
            <w:bottom w:w="0" w:type="dxa"/>
            <w:right w:w="108" w:type="dxa"/>
          </w:tblCellMar>
        </w:tblPrEx>
        <w:trPr>
          <w:trHeight w:val="64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3E288613">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CBF9F">
            <w:pPr>
              <w:jc w:val="center"/>
              <w:rPr>
                <w:rFonts w:hint="eastAsia" w:ascii="黑体" w:hAnsi="宋体"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539F8">
            <w:pPr>
              <w:jc w:val="left"/>
              <w:rPr>
                <w:rFonts w:hint="eastAsia" w:ascii="黑体" w:hAnsi="宋体" w:eastAsia="黑体" w:cs="黑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F87B105">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2</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22B9E02E">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核定载客人数超过57人，每超1人扣1分（多台车辆累计扣分，下同）。</w:t>
            </w:r>
          </w:p>
        </w:tc>
        <w:tc>
          <w:tcPr>
            <w:tcW w:w="381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BB4A70B">
            <w:pPr>
              <w:jc w:val="left"/>
              <w:rPr>
                <w:rFonts w:hint="eastAsia" w:ascii="仿宋_GB2312" w:hAnsi="宋体" w:eastAsia="仿宋_GB2312" w:cs="仿宋_GB2312"/>
                <w:color w:val="000000"/>
                <w:sz w:val="22"/>
                <w:szCs w:val="22"/>
              </w:rPr>
            </w:pPr>
          </w:p>
        </w:tc>
        <w:tc>
          <w:tcPr>
            <w:tcW w:w="923" w:type="dxa"/>
            <w:vMerge w:val="continue"/>
            <w:tcBorders>
              <w:top w:val="single" w:color="000000" w:sz="4" w:space="0"/>
              <w:left w:val="single" w:color="000000" w:sz="4" w:space="0"/>
              <w:bottom w:val="single" w:color="000000" w:sz="4" w:space="0"/>
              <w:right w:val="single" w:color="000000" w:sz="4" w:space="0"/>
            </w:tcBorders>
            <w:noWrap/>
            <w:vAlign w:val="center"/>
          </w:tcPr>
          <w:p w14:paraId="32F358DC">
            <w:pPr>
              <w:jc w:val="center"/>
              <w:rPr>
                <w:rFonts w:hint="eastAsia" w:ascii="仿宋_GB2312" w:hAnsi="宋体" w:eastAsia="仿宋_GB2312" w:cs="仿宋_GB2312"/>
                <w:color w:val="000000"/>
                <w:sz w:val="22"/>
                <w:szCs w:val="22"/>
              </w:rPr>
            </w:pPr>
          </w:p>
        </w:tc>
      </w:tr>
      <w:tr w14:paraId="05DCFBAD">
        <w:tblPrEx>
          <w:tblCellMar>
            <w:top w:w="0" w:type="dxa"/>
            <w:left w:w="108" w:type="dxa"/>
            <w:bottom w:w="0" w:type="dxa"/>
            <w:right w:w="108" w:type="dxa"/>
          </w:tblCellMar>
        </w:tblPrEx>
        <w:trPr>
          <w:trHeight w:val="66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6D323C34">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08695">
            <w:pPr>
              <w:jc w:val="center"/>
              <w:rPr>
                <w:rFonts w:hint="eastAsia" w:ascii="黑体" w:hAnsi="宋体"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CDE78">
            <w:pPr>
              <w:jc w:val="left"/>
              <w:rPr>
                <w:rFonts w:hint="eastAsia" w:ascii="黑体" w:hAnsi="宋体" w:eastAsia="黑体" w:cs="黑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BD976E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2</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2BE7A83A">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车辆行使里程大于80万公里的，每超过10万公里扣0.5分，不足10万公里按10万公里计算。</w:t>
            </w:r>
          </w:p>
        </w:tc>
        <w:tc>
          <w:tcPr>
            <w:tcW w:w="381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553567D">
            <w:pPr>
              <w:jc w:val="left"/>
              <w:rPr>
                <w:rFonts w:hint="eastAsia" w:ascii="仿宋_GB2312" w:hAnsi="宋体" w:eastAsia="仿宋_GB2312" w:cs="仿宋_GB2312"/>
                <w:color w:val="000000"/>
                <w:sz w:val="22"/>
                <w:szCs w:val="22"/>
              </w:rPr>
            </w:pPr>
          </w:p>
        </w:tc>
        <w:tc>
          <w:tcPr>
            <w:tcW w:w="923" w:type="dxa"/>
            <w:vMerge w:val="continue"/>
            <w:tcBorders>
              <w:top w:val="single" w:color="000000" w:sz="4" w:space="0"/>
              <w:left w:val="single" w:color="000000" w:sz="4" w:space="0"/>
              <w:bottom w:val="single" w:color="000000" w:sz="4" w:space="0"/>
              <w:right w:val="single" w:color="000000" w:sz="4" w:space="0"/>
            </w:tcBorders>
            <w:noWrap/>
            <w:vAlign w:val="center"/>
          </w:tcPr>
          <w:p w14:paraId="13C66EA7">
            <w:pPr>
              <w:jc w:val="center"/>
              <w:rPr>
                <w:rFonts w:hint="eastAsia" w:ascii="仿宋_GB2312" w:hAnsi="宋体" w:eastAsia="仿宋_GB2312" w:cs="仿宋_GB2312"/>
                <w:color w:val="000000"/>
                <w:sz w:val="22"/>
                <w:szCs w:val="22"/>
              </w:rPr>
            </w:pPr>
          </w:p>
        </w:tc>
      </w:tr>
      <w:tr w14:paraId="163B5ABE">
        <w:tblPrEx>
          <w:tblCellMar>
            <w:top w:w="0" w:type="dxa"/>
            <w:left w:w="108" w:type="dxa"/>
            <w:bottom w:w="0" w:type="dxa"/>
            <w:right w:w="108" w:type="dxa"/>
          </w:tblCellMar>
        </w:tblPrEx>
        <w:trPr>
          <w:trHeight w:val="572"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3C211AE9">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8CAB6">
            <w:pPr>
              <w:jc w:val="center"/>
              <w:rPr>
                <w:rFonts w:hint="eastAsia" w:ascii="黑体" w:hAnsi="宋体"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2077A">
            <w:pPr>
              <w:jc w:val="left"/>
              <w:rPr>
                <w:rFonts w:hint="eastAsia" w:ascii="黑体" w:hAnsi="宋体" w:eastAsia="黑体" w:cs="黑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D8838C3">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2</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1510E648">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车辆使用年限大于8年的，每多1年扣0.5分，不足1年按1年计算。</w:t>
            </w:r>
          </w:p>
        </w:tc>
        <w:tc>
          <w:tcPr>
            <w:tcW w:w="381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EDFA5D">
            <w:pPr>
              <w:jc w:val="left"/>
              <w:rPr>
                <w:rFonts w:hint="eastAsia" w:ascii="仿宋_GB2312" w:hAnsi="宋体" w:eastAsia="仿宋_GB2312" w:cs="仿宋_GB2312"/>
                <w:color w:val="000000"/>
                <w:sz w:val="22"/>
                <w:szCs w:val="22"/>
              </w:rPr>
            </w:pPr>
          </w:p>
        </w:tc>
        <w:tc>
          <w:tcPr>
            <w:tcW w:w="923" w:type="dxa"/>
            <w:vMerge w:val="continue"/>
            <w:tcBorders>
              <w:top w:val="single" w:color="000000" w:sz="4" w:space="0"/>
              <w:left w:val="single" w:color="000000" w:sz="4" w:space="0"/>
              <w:bottom w:val="single" w:color="000000" w:sz="4" w:space="0"/>
              <w:right w:val="single" w:color="000000" w:sz="4" w:space="0"/>
            </w:tcBorders>
            <w:noWrap/>
            <w:vAlign w:val="center"/>
          </w:tcPr>
          <w:p w14:paraId="2ECA4E29">
            <w:pPr>
              <w:jc w:val="center"/>
              <w:rPr>
                <w:rFonts w:hint="eastAsia" w:ascii="仿宋_GB2312" w:hAnsi="宋体" w:eastAsia="仿宋_GB2312" w:cs="仿宋_GB2312"/>
                <w:color w:val="000000"/>
                <w:sz w:val="22"/>
                <w:szCs w:val="22"/>
              </w:rPr>
            </w:pPr>
          </w:p>
        </w:tc>
      </w:tr>
      <w:tr w14:paraId="6E244699">
        <w:tblPrEx>
          <w:tblCellMar>
            <w:top w:w="0" w:type="dxa"/>
            <w:left w:w="108" w:type="dxa"/>
            <w:bottom w:w="0" w:type="dxa"/>
            <w:right w:w="108" w:type="dxa"/>
          </w:tblCellMar>
        </w:tblPrEx>
        <w:trPr>
          <w:trHeight w:val="483"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14:paraId="56DE431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691E8F00">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一级标准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0F1919D">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二级标准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BD4BED9">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具体分值</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044C8E76">
            <w:pPr>
              <w:jc w:val="center"/>
              <w:textAlignment w:val="center"/>
              <w:rPr>
                <w:rFonts w:hint="eastAsia" w:ascii="仿宋_GB2312" w:hAnsi="宋体" w:eastAsia="仿宋_GB2312" w:cs="仿宋_GB2312"/>
                <w:color w:val="000000"/>
                <w:kern w:val="0"/>
                <w:sz w:val="22"/>
                <w:szCs w:val="22"/>
                <w:lang w:bidi="ar"/>
              </w:rPr>
            </w:pPr>
            <w:r>
              <w:rPr>
                <w:rFonts w:hint="eastAsia" w:ascii="黑体" w:hAnsi="宋体" w:eastAsia="黑体" w:cs="黑体"/>
                <w:color w:val="000000"/>
                <w:kern w:val="0"/>
                <w:sz w:val="22"/>
                <w:szCs w:val="22"/>
                <w:lang w:bidi="ar"/>
              </w:rPr>
              <w:t>评估标准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710A2A60">
            <w:pPr>
              <w:jc w:val="center"/>
              <w:textAlignment w:val="center"/>
              <w:rPr>
                <w:rFonts w:hint="eastAsia" w:ascii="仿宋_GB2312" w:hAnsi="宋体" w:eastAsia="仿宋_GB2312" w:cs="仿宋_GB2312"/>
                <w:color w:val="000000"/>
                <w:sz w:val="22"/>
                <w:szCs w:val="22"/>
              </w:rPr>
            </w:pPr>
            <w:r>
              <w:rPr>
                <w:rFonts w:hint="eastAsia" w:ascii="黑体" w:hAnsi="宋体" w:eastAsia="黑体" w:cs="黑体"/>
                <w:color w:val="000000"/>
                <w:kern w:val="0"/>
                <w:sz w:val="22"/>
                <w:szCs w:val="22"/>
                <w:lang w:bidi="ar"/>
              </w:rPr>
              <w:t>评估方法</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193574CD">
            <w:pPr>
              <w:jc w:val="center"/>
              <w:textAlignment w:val="center"/>
              <w:rPr>
                <w:rFonts w:hint="eastAsia" w:ascii="仿宋_GB2312" w:hAnsi="宋体" w:eastAsia="仿宋_GB2312" w:cs="仿宋_GB2312"/>
                <w:color w:val="000000"/>
                <w:sz w:val="22"/>
                <w:szCs w:val="22"/>
              </w:rPr>
            </w:pPr>
            <w:r>
              <w:rPr>
                <w:rFonts w:hint="eastAsia" w:ascii="黑体" w:hAnsi="宋体" w:eastAsia="黑体" w:cs="黑体"/>
                <w:color w:val="000000"/>
                <w:kern w:val="0"/>
                <w:sz w:val="22"/>
                <w:szCs w:val="22"/>
                <w:lang w:bidi="ar"/>
              </w:rPr>
              <w:t>得分</w:t>
            </w:r>
          </w:p>
        </w:tc>
      </w:tr>
      <w:tr w14:paraId="0CFE564C">
        <w:tblPrEx>
          <w:tblCellMar>
            <w:top w:w="0" w:type="dxa"/>
            <w:left w:w="108" w:type="dxa"/>
            <w:bottom w:w="0" w:type="dxa"/>
            <w:right w:w="108" w:type="dxa"/>
          </w:tblCellMar>
        </w:tblPrEx>
        <w:trPr>
          <w:trHeight w:val="1331" w:hRule="atLeast"/>
        </w:trPr>
        <w:tc>
          <w:tcPr>
            <w:tcW w:w="752" w:type="dxa"/>
            <w:vMerge w:val="restart"/>
            <w:tcBorders>
              <w:top w:val="single" w:color="000000" w:sz="4" w:space="0"/>
              <w:left w:val="single" w:color="000000" w:sz="4" w:space="0"/>
              <w:right w:val="single" w:color="000000" w:sz="4" w:space="0"/>
            </w:tcBorders>
            <w:noWrap/>
            <w:vAlign w:val="center"/>
          </w:tcPr>
          <w:p w14:paraId="566A1EE2">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w:t>
            </w:r>
          </w:p>
        </w:tc>
        <w:tc>
          <w:tcPr>
            <w:tcW w:w="1195" w:type="dxa"/>
            <w:vMerge w:val="restart"/>
            <w:tcBorders>
              <w:top w:val="single" w:color="000000" w:sz="4" w:space="0"/>
              <w:left w:val="single" w:color="000000" w:sz="4" w:space="0"/>
              <w:right w:val="single" w:color="000000" w:sz="4" w:space="0"/>
            </w:tcBorders>
            <w:noWrap w:val="0"/>
            <w:vAlign w:val="center"/>
          </w:tcPr>
          <w:p w14:paraId="58383D81">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车辆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（20分）</w:t>
            </w:r>
          </w:p>
        </w:tc>
        <w:tc>
          <w:tcPr>
            <w:tcW w:w="1710" w:type="dxa"/>
            <w:tcBorders>
              <w:top w:val="single" w:color="000000" w:sz="4" w:space="0"/>
              <w:left w:val="single" w:color="000000" w:sz="4" w:space="0"/>
              <w:bottom w:val="nil"/>
              <w:right w:val="single" w:color="000000" w:sz="4" w:space="0"/>
            </w:tcBorders>
            <w:noWrap w:val="0"/>
            <w:vAlign w:val="center"/>
          </w:tcPr>
          <w:p w14:paraId="4B6B0B47">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5.安全装置配置情况（6分）</w:t>
            </w:r>
          </w:p>
        </w:tc>
        <w:tc>
          <w:tcPr>
            <w:tcW w:w="1096" w:type="dxa"/>
            <w:tcBorders>
              <w:top w:val="single" w:color="000000" w:sz="4" w:space="0"/>
              <w:left w:val="single" w:color="000000" w:sz="4" w:space="0"/>
              <w:bottom w:val="nil"/>
              <w:right w:val="single" w:color="000000" w:sz="4" w:space="0"/>
            </w:tcBorders>
            <w:noWrap w:val="0"/>
            <w:vAlign w:val="center"/>
          </w:tcPr>
          <w:p w14:paraId="7142C66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6</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02C6A63E">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车辆缺少电子稳定性控制系统（ESC）、车道偏离预警系统（LDWS）、胎压监测系统、爆胎应急安全装置、智能视频监控装置，每少1个装置扣1分，多车多次的累计扣分。</w:t>
            </w:r>
          </w:p>
        </w:tc>
        <w:tc>
          <w:tcPr>
            <w:tcW w:w="3819" w:type="dxa"/>
            <w:gridSpan w:val="3"/>
            <w:tcBorders>
              <w:top w:val="single" w:color="000000" w:sz="4" w:space="0"/>
              <w:left w:val="single" w:color="000000" w:sz="4" w:space="0"/>
              <w:bottom w:val="nil"/>
              <w:right w:val="single" w:color="000000" w:sz="4" w:space="0"/>
            </w:tcBorders>
            <w:noWrap w:val="0"/>
            <w:vAlign w:val="center"/>
          </w:tcPr>
          <w:p w14:paraId="144E77F7">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综合企业台帐、年审记录、相关证件、运输服务承诺书和日常监管情况计分。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AFDEEC4">
            <w:pPr>
              <w:jc w:val="center"/>
              <w:rPr>
                <w:rFonts w:hint="eastAsia" w:ascii="仿宋_GB2312" w:hAnsi="宋体" w:eastAsia="仿宋_GB2312" w:cs="仿宋_GB2312"/>
                <w:color w:val="000000"/>
                <w:sz w:val="22"/>
                <w:szCs w:val="22"/>
              </w:rPr>
            </w:pPr>
          </w:p>
        </w:tc>
      </w:tr>
      <w:tr w14:paraId="79E63C97">
        <w:tblPrEx>
          <w:tblCellMar>
            <w:top w:w="0" w:type="dxa"/>
            <w:left w:w="108" w:type="dxa"/>
            <w:bottom w:w="0" w:type="dxa"/>
            <w:right w:w="108" w:type="dxa"/>
          </w:tblCellMar>
        </w:tblPrEx>
        <w:trPr>
          <w:trHeight w:val="962" w:hRule="atLeast"/>
        </w:trPr>
        <w:tc>
          <w:tcPr>
            <w:tcW w:w="752" w:type="dxa"/>
            <w:vMerge w:val="continue"/>
            <w:tcBorders>
              <w:left w:val="single" w:color="000000" w:sz="4" w:space="0"/>
              <w:bottom w:val="single" w:color="000000" w:sz="4" w:space="0"/>
              <w:right w:val="single" w:color="000000" w:sz="4" w:space="0"/>
            </w:tcBorders>
            <w:noWrap/>
            <w:vAlign w:val="center"/>
          </w:tcPr>
          <w:p w14:paraId="0C73AA56">
            <w:pPr>
              <w:jc w:val="center"/>
              <w:textAlignment w:val="center"/>
              <w:rPr>
                <w:rFonts w:hint="eastAsia" w:ascii="黑体" w:hAnsi="宋体" w:eastAsia="黑体" w:cs="黑体"/>
                <w:color w:val="000000"/>
                <w:kern w:val="0"/>
                <w:sz w:val="22"/>
                <w:szCs w:val="22"/>
                <w:lang w:bidi="ar"/>
              </w:rPr>
            </w:pPr>
          </w:p>
        </w:tc>
        <w:tc>
          <w:tcPr>
            <w:tcW w:w="1195" w:type="dxa"/>
            <w:vMerge w:val="continue"/>
            <w:tcBorders>
              <w:left w:val="single" w:color="000000" w:sz="4" w:space="0"/>
              <w:bottom w:val="single" w:color="000000" w:sz="4" w:space="0"/>
              <w:right w:val="single" w:color="000000" w:sz="4" w:space="0"/>
            </w:tcBorders>
            <w:noWrap w:val="0"/>
            <w:vAlign w:val="center"/>
          </w:tcPr>
          <w:p w14:paraId="79DBD54E">
            <w:pPr>
              <w:jc w:val="center"/>
              <w:textAlignment w:val="center"/>
              <w:rPr>
                <w:rFonts w:hint="eastAsia" w:ascii="黑体" w:hAnsi="宋体" w:eastAsia="黑体" w:cs="黑体"/>
                <w:color w:val="000000"/>
                <w:kern w:val="0"/>
                <w:sz w:val="22"/>
                <w:szCs w:val="22"/>
                <w:lang w:bidi="ar"/>
              </w:rPr>
            </w:pPr>
          </w:p>
        </w:tc>
        <w:tc>
          <w:tcPr>
            <w:tcW w:w="1710" w:type="dxa"/>
            <w:tcBorders>
              <w:top w:val="single" w:color="000000" w:sz="4" w:space="0"/>
              <w:left w:val="single" w:color="000000" w:sz="4" w:space="0"/>
              <w:bottom w:val="nil"/>
              <w:right w:val="single" w:color="000000" w:sz="4" w:space="0"/>
            </w:tcBorders>
            <w:noWrap w:val="0"/>
            <w:vAlign w:val="center"/>
          </w:tcPr>
          <w:p w14:paraId="798C49B7">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6.车辆经营模式（4分）</w:t>
            </w:r>
          </w:p>
        </w:tc>
        <w:tc>
          <w:tcPr>
            <w:tcW w:w="1096" w:type="dxa"/>
            <w:tcBorders>
              <w:top w:val="single" w:color="000000" w:sz="4" w:space="0"/>
              <w:left w:val="single" w:color="000000" w:sz="4" w:space="0"/>
              <w:bottom w:val="nil"/>
              <w:right w:val="single" w:color="000000" w:sz="4" w:space="0"/>
            </w:tcBorders>
            <w:noWrap w:val="0"/>
            <w:vAlign w:val="center"/>
          </w:tcPr>
          <w:p w14:paraId="18DB0E91">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14358D38">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线路上车辆存在承包经营、挂靠经营的，每车扣2分。</w:t>
            </w:r>
          </w:p>
        </w:tc>
        <w:tc>
          <w:tcPr>
            <w:tcW w:w="3819" w:type="dxa"/>
            <w:gridSpan w:val="3"/>
            <w:tcBorders>
              <w:top w:val="single" w:color="000000" w:sz="4" w:space="0"/>
              <w:left w:val="single" w:color="000000" w:sz="4" w:space="0"/>
              <w:bottom w:val="nil"/>
              <w:right w:val="single" w:color="000000" w:sz="4" w:space="0"/>
            </w:tcBorders>
            <w:noWrap w:val="0"/>
            <w:vAlign w:val="center"/>
          </w:tcPr>
          <w:p w14:paraId="39F9FD96">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运输服务承诺书、与驾驶员签订的经营合同（协议）等。</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3521DD7">
            <w:pPr>
              <w:jc w:val="center"/>
              <w:rPr>
                <w:rFonts w:hint="eastAsia" w:ascii="仿宋_GB2312" w:hAnsi="宋体" w:eastAsia="仿宋_GB2312" w:cs="仿宋_GB2312"/>
                <w:color w:val="000000"/>
                <w:sz w:val="22"/>
                <w:szCs w:val="22"/>
              </w:rPr>
            </w:pPr>
          </w:p>
        </w:tc>
      </w:tr>
      <w:tr w14:paraId="2203C386">
        <w:tblPrEx>
          <w:tblCellMar>
            <w:top w:w="0" w:type="dxa"/>
            <w:left w:w="108" w:type="dxa"/>
            <w:bottom w:w="0" w:type="dxa"/>
            <w:right w:w="108" w:type="dxa"/>
          </w:tblCellMar>
        </w:tblPrEx>
        <w:trPr>
          <w:trHeight w:val="1956" w:hRule="atLeast"/>
        </w:trPr>
        <w:tc>
          <w:tcPr>
            <w:tcW w:w="752" w:type="dxa"/>
            <w:vMerge w:val="restart"/>
            <w:tcBorders>
              <w:top w:val="single" w:color="000000" w:sz="4" w:space="0"/>
              <w:left w:val="single" w:color="000000" w:sz="4" w:space="0"/>
              <w:bottom w:val="single" w:color="000000" w:sz="4" w:space="0"/>
              <w:right w:val="single" w:color="000000" w:sz="4" w:space="0"/>
            </w:tcBorders>
            <w:noWrap/>
            <w:vAlign w:val="center"/>
          </w:tcPr>
          <w:p w14:paraId="6ECB3F68">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三</w:t>
            </w:r>
          </w:p>
        </w:tc>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782D5">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从业</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人员</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（30分）</w:t>
            </w:r>
          </w:p>
        </w:tc>
        <w:tc>
          <w:tcPr>
            <w:tcW w:w="1710" w:type="dxa"/>
            <w:tcBorders>
              <w:top w:val="single" w:color="000000" w:sz="4" w:space="0"/>
              <w:left w:val="single" w:color="000000" w:sz="4" w:space="0"/>
              <w:bottom w:val="nil"/>
              <w:right w:val="single" w:color="000000" w:sz="4" w:space="0"/>
            </w:tcBorders>
            <w:noWrap w:val="0"/>
            <w:vAlign w:val="center"/>
          </w:tcPr>
          <w:p w14:paraId="49F4531E">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7.已聘用驾驶员情况（14分）</w:t>
            </w:r>
          </w:p>
        </w:tc>
        <w:tc>
          <w:tcPr>
            <w:tcW w:w="1096" w:type="dxa"/>
            <w:tcBorders>
              <w:top w:val="single" w:color="000000" w:sz="4" w:space="0"/>
              <w:left w:val="single" w:color="000000" w:sz="4" w:space="0"/>
              <w:bottom w:val="nil"/>
              <w:right w:val="single" w:color="000000" w:sz="4" w:space="0"/>
            </w:tcBorders>
            <w:noWrap w:val="0"/>
            <w:vAlign w:val="center"/>
          </w:tcPr>
          <w:p w14:paraId="78BBBA3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5D257A44">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已聘用驾驶员近3年内未按规定参加诚信考核，或者诚信考核不合格的，每有一人扣1分。多人多次的累计扣分。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最近3个完整记分周期内，聘用驾驶员交通违法计分每个完整记分周期超过6分的，每有一人扣2分。多人多次的累计扣分。</w:t>
            </w:r>
          </w:p>
        </w:tc>
        <w:tc>
          <w:tcPr>
            <w:tcW w:w="3819" w:type="dxa"/>
            <w:gridSpan w:val="3"/>
            <w:tcBorders>
              <w:top w:val="single" w:color="000000" w:sz="4" w:space="0"/>
              <w:left w:val="single" w:color="000000" w:sz="4" w:space="0"/>
              <w:bottom w:val="nil"/>
              <w:right w:val="single" w:color="000000" w:sz="4" w:space="0"/>
            </w:tcBorders>
            <w:noWrap w:val="0"/>
            <w:vAlign w:val="center"/>
          </w:tcPr>
          <w:p w14:paraId="6CDAAA4C">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综合企业台帐资料、聘用驾驶员合同及证件、日常监管和各类系统记录情况后计分。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6020B687">
            <w:pPr>
              <w:jc w:val="center"/>
              <w:rPr>
                <w:rFonts w:hint="eastAsia" w:ascii="仿宋_GB2312" w:hAnsi="宋体" w:eastAsia="仿宋_GB2312" w:cs="仿宋_GB2312"/>
                <w:color w:val="000000"/>
                <w:sz w:val="22"/>
                <w:szCs w:val="22"/>
              </w:rPr>
            </w:pPr>
          </w:p>
        </w:tc>
      </w:tr>
      <w:tr w14:paraId="5D30ED93">
        <w:tblPrEx>
          <w:tblCellMar>
            <w:top w:w="0" w:type="dxa"/>
            <w:left w:w="108" w:type="dxa"/>
            <w:bottom w:w="0" w:type="dxa"/>
            <w:right w:w="108" w:type="dxa"/>
          </w:tblCellMar>
        </w:tblPrEx>
        <w:trPr>
          <w:trHeight w:val="102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654C5CEC">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FBA3B">
            <w:pPr>
              <w:jc w:val="center"/>
              <w:rPr>
                <w:rFonts w:hint="eastAsia" w:ascii="黑体" w:hAnsi="宋体" w:eastAsia="黑体" w:cs="黑体"/>
                <w:color w:val="000000"/>
                <w:sz w:val="22"/>
                <w:szCs w:val="22"/>
              </w:rPr>
            </w:pPr>
          </w:p>
        </w:tc>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F5C1F">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8.关键岗位从业人员配备情况（16分）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9FAD28E">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3CC23A65">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专职安全管理人员数量配备不符合规定（每50辆车1人，最低不少于1人；300辆车以上，每增加100辆增加1人）的，扣4分。</w:t>
            </w:r>
          </w:p>
        </w:tc>
        <w:tc>
          <w:tcPr>
            <w:tcW w:w="381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A932ECE">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综合企业台帐资料、日常监管和相关系统记录情况，并检查工作人员聘用合同和社保缴纳情况后计分。委托第三方机构开展动态监控的，第三方专职动态监控人员视同自有专职人员。</w:t>
            </w:r>
          </w:p>
        </w:tc>
        <w:tc>
          <w:tcPr>
            <w:tcW w:w="923" w:type="dxa"/>
            <w:vMerge w:val="restart"/>
            <w:tcBorders>
              <w:top w:val="single" w:color="000000" w:sz="4" w:space="0"/>
              <w:left w:val="single" w:color="000000" w:sz="4" w:space="0"/>
              <w:bottom w:val="single" w:color="000000" w:sz="4" w:space="0"/>
              <w:right w:val="single" w:color="000000" w:sz="4" w:space="0"/>
            </w:tcBorders>
            <w:noWrap/>
            <w:vAlign w:val="center"/>
          </w:tcPr>
          <w:p w14:paraId="3C4A9B02">
            <w:pPr>
              <w:jc w:val="center"/>
              <w:rPr>
                <w:rFonts w:hint="eastAsia" w:ascii="仿宋_GB2312" w:hAnsi="宋体" w:eastAsia="仿宋_GB2312" w:cs="仿宋_GB2312"/>
                <w:color w:val="000000"/>
                <w:sz w:val="22"/>
                <w:szCs w:val="22"/>
              </w:rPr>
            </w:pPr>
          </w:p>
        </w:tc>
      </w:tr>
      <w:tr w14:paraId="720F8338">
        <w:tblPrEx>
          <w:tblCellMar>
            <w:top w:w="0" w:type="dxa"/>
            <w:left w:w="108" w:type="dxa"/>
            <w:bottom w:w="0" w:type="dxa"/>
            <w:right w:w="108" w:type="dxa"/>
          </w:tblCellMar>
        </w:tblPrEx>
        <w:trPr>
          <w:trHeight w:val="1460"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121AD7D4">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0EA71">
            <w:pPr>
              <w:jc w:val="center"/>
              <w:rPr>
                <w:rFonts w:hint="eastAsia" w:ascii="黑体" w:hAnsi="宋体"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6440C">
            <w:pPr>
              <w:jc w:val="left"/>
              <w:rPr>
                <w:rFonts w:hint="eastAsia" w:ascii="黑体" w:hAnsi="宋体" w:eastAsia="黑体" w:cs="黑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85FA483">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0E42FF37">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动态监控人员数量配备不符合规定（动态监控平台每接入100辆车配备1人，最低不少于2人）的，扣4分；发现企业动态监控人员未按规定落实监控责任的，每发现一次，扣1分，扣完为止。</w:t>
            </w:r>
          </w:p>
        </w:tc>
        <w:tc>
          <w:tcPr>
            <w:tcW w:w="381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B508BA0">
            <w:pPr>
              <w:jc w:val="left"/>
              <w:rPr>
                <w:rFonts w:hint="eastAsia" w:ascii="仿宋_GB2312" w:hAnsi="宋体" w:eastAsia="仿宋_GB2312" w:cs="仿宋_GB2312"/>
                <w:color w:val="000000"/>
                <w:sz w:val="22"/>
                <w:szCs w:val="22"/>
              </w:rPr>
            </w:pPr>
          </w:p>
        </w:tc>
        <w:tc>
          <w:tcPr>
            <w:tcW w:w="923" w:type="dxa"/>
            <w:vMerge w:val="continue"/>
            <w:tcBorders>
              <w:top w:val="single" w:color="000000" w:sz="4" w:space="0"/>
              <w:left w:val="single" w:color="000000" w:sz="4" w:space="0"/>
              <w:bottom w:val="single" w:color="000000" w:sz="4" w:space="0"/>
              <w:right w:val="single" w:color="000000" w:sz="4" w:space="0"/>
            </w:tcBorders>
            <w:noWrap/>
            <w:vAlign w:val="center"/>
          </w:tcPr>
          <w:p w14:paraId="3654B138">
            <w:pPr>
              <w:jc w:val="center"/>
              <w:rPr>
                <w:rFonts w:hint="eastAsia" w:ascii="仿宋_GB2312" w:hAnsi="宋体" w:eastAsia="仿宋_GB2312" w:cs="仿宋_GB2312"/>
                <w:color w:val="000000"/>
                <w:sz w:val="22"/>
                <w:szCs w:val="22"/>
              </w:rPr>
            </w:pPr>
          </w:p>
        </w:tc>
      </w:tr>
      <w:tr w14:paraId="12739B36">
        <w:tblPrEx>
          <w:tblCellMar>
            <w:top w:w="0" w:type="dxa"/>
            <w:left w:w="108" w:type="dxa"/>
            <w:bottom w:w="0" w:type="dxa"/>
            <w:right w:w="108" w:type="dxa"/>
          </w:tblCellMar>
        </w:tblPrEx>
        <w:trPr>
          <w:trHeight w:val="725"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1D4C2844">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13535">
            <w:pPr>
              <w:jc w:val="center"/>
              <w:rPr>
                <w:rFonts w:hint="eastAsia" w:ascii="黑体" w:hAnsi="宋体"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E7321">
            <w:pPr>
              <w:jc w:val="left"/>
              <w:rPr>
                <w:rFonts w:hint="eastAsia" w:ascii="黑体" w:hAnsi="宋体" w:eastAsia="黑体" w:cs="黑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2586036">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233C2678">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车辆技术管理人员配备不符合规定的（每50辆车1人，最低不少于1人），扣4分。</w:t>
            </w:r>
          </w:p>
        </w:tc>
        <w:tc>
          <w:tcPr>
            <w:tcW w:w="381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579214">
            <w:pPr>
              <w:jc w:val="left"/>
              <w:rPr>
                <w:rFonts w:hint="eastAsia" w:ascii="仿宋_GB2312" w:hAnsi="宋体" w:eastAsia="仿宋_GB2312" w:cs="仿宋_GB2312"/>
                <w:color w:val="000000"/>
                <w:sz w:val="22"/>
                <w:szCs w:val="22"/>
              </w:rPr>
            </w:pPr>
          </w:p>
        </w:tc>
        <w:tc>
          <w:tcPr>
            <w:tcW w:w="923" w:type="dxa"/>
            <w:vMerge w:val="continue"/>
            <w:tcBorders>
              <w:top w:val="single" w:color="000000" w:sz="4" w:space="0"/>
              <w:left w:val="single" w:color="000000" w:sz="4" w:space="0"/>
              <w:bottom w:val="single" w:color="000000" w:sz="4" w:space="0"/>
              <w:right w:val="single" w:color="000000" w:sz="4" w:space="0"/>
            </w:tcBorders>
            <w:noWrap/>
            <w:vAlign w:val="center"/>
          </w:tcPr>
          <w:p w14:paraId="43BD7EC9">
            <w:pPr>
              <w:jc w:val="center"/>
              <w:rPr>
                <w:rFonts w:hint="eastAsia" w:ascii="仿宋_GB2312" w:hAnsi="宋体" w:eastAsia="仿宋_GB2312" w:cs="仿宋_GB2312"/>
                <w:color w:val="000000"/>
                <w:sz w:val="22"/>
                <w:szCs w:val="22"/>
              </w:rPr>
            </w:pPr>
          </w:p>
        </w:tc>
      </w:tr>
      <w:tr w14:paraId="5978690D">
        <w:trPr>
          <w:trHeight w:val="493"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14:paraId="59C27E40">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6F7A8E21">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一级标准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8D0F6E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二级标准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2B6AD1A">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具体分值</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634EF2DD">
            <w:pPr>
              <w:jc w:val="center"/>
              <w:textAlignment w:val="center"/>
              <w:rPr>
                <w:rFonts w:hint="eastAsia" w:ascii="仿宋_GB2312" w:hAnsi="宋体" w:eastAsia="仿宋_GB2312" w:cs="仿宋_GB2312"/>
                <w:color w:val="000000"/>
                <w:kern w:val="0"/>
                <w:sz w:val="22"/>
                <w:szCs w:val="22"/>
                <w:lang w:bidi="ar"/>
              </w:rPr>
            </w:pPr>
            <w:r>
              <w:rPr>
                <w:rFonts w:hint="eastAsia" w:ascii="黑体" w:hAnsi="宋体" w:eastAsia="黑体" w:cs="黑体"/>
                <w:color w:val="000000"/>
                <w:kern w:val="0"/>
                <w:sz w:val="22"/>
                <w:szCs w:val="22"/>
                <w:lang w:bidi="ar"/>
              </w:rPr>
              <w:t>评估标准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DEE254A">
            <w:pPr>
              <w:jc w:val="center"/>
              <w:textAlignment w:val="center"/>
              <w:rPr>
                <w:rFonts w:hint="eastAsia" w:ascii="仿宋_GB2312" w:hAnsi="宋体" w:eastAsia="仿宋_GB2312" w:cs="仿宋_GB2312"/>
                <w:color w:val="000000"/>
                <w:sz w:val="22"/>
                <w:szCs w:val="22"/>
              </w:rPr>
            </w:pPr>
            <w:r>
              <w:rPr>
                <w:rFonts w:hint="eastAsia" w:ascii="黑体" w:hAnsi="宋体" w:eastAsia="黑体" w:cs="黑体"/>
                <w:color w:val="000000"/>
                <w:kern w:val="0"/>
                <w:sz w:val="22"/>
                <w:szCs w:val="22"/>
                <w:lang w:bidi="ar"/>
              </w:rPr>
              <w:t>评估方法</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24CEB5AE">
            <w:pPr>
              <w:jc w:val="center"/>
              <w:textAlignment w:val="center"/>
              <w:rPr>
                <w:rFonts w:hint="eastAsia" w:ascii="仿宋_GB2312" w:hAnsi="宋体" w:eastAsia="仿宋_GB2312" w:cs="仿宋_GB2312"/>
                <w:color w:val="000000"/>
                <w:sz w:val="22"/>
                <w:szCs w:val="22"/>
              </w:rPr>
            </w:pPr>
            <w:r>
              <w:rPr>
                <w:rFonts w:hint="eastAsia" w:ascii="黑体" w:hAnsi="宋体" w:eastAsia="黑体" w:cs="黑体"/>
                <w:color w:val="000000"/>
                <w:kern w:val="0"/>
                <w:sz w:val="22"/>
                <w:szCs w:val="22"/>
                <w:lang w:bidi="ar"/>
              </w:rPr>
              <w:t>得分</w:t>
            </w:r>
          </w:p>
        </w:tc>
      </w:tr>
      <w:tr w14:paraId="7AA04CEB">
        <w:tblPrEx>
          <w:tblCellMar>
            <w:top w:w="0" w:type="dxa"/>
            <w:left w:w="108" w:type="dxa"/>
            <w:bottom w:w="0" w:type="dxa"/>
            <w:right w:w="108" w:type="dxa"/>
          </w:tblCellMar>
        </w:tblPrEx>
        <w:trPr>
          <w:trHeight w:val="90" w:hRule="atLeast"/>
        </w:trPr>
        <w:tc>
          <w:tcPr>
            <w:tcW w:w="752" w:type="dxa"/>
            <w:tcBorders>
              <w:top w:val="single" w:color="000000" w:sz="4" w:space="0"/>
              <w:left w:val="single" w:color="000000" w:sz="4" w:space="0"/>
              <w:bottom w:val="single" w:color="auto" w:sz="4" w:space="0"/>
              <w:right w:val="single" w:color="000000" w:sz="4" w:space="0"/>
            </w:tcBorders>
            <w:noWrap/>
            <w:vAlign w:val="center"/>
          </w:tcPr>
          <w:p w14:paraId="0B5E143B">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w:t>
            </w:r>
          </w:p>
        </w:tc>
        <w:tc>
          <w:tcPr>
            <w:tcW w:w="1195" w:type="dxa"/>
            <w:tcBorders>
              <w:top w:val="single" w:color="000000" w:sz="4" w:space="0"/>
              <w:left w:val="single" w:color="000000" w:sz="4" w:space="0"/>
              <w:bottom w:val="single" w:color="auto" w:sz="4" w:space="0"/>
              <w:right w:val="single" w:color="000000" w:sz="4" w:space="0"/>
            </w:tcBorders>
            <w:noWrap w:val="0"/>
            <w:vAlign w:val="center"/>
          </w:tcPr>
          <w:p w14:paraId="30552929">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从业</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人员</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（30分）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BB2CD3F">
            <w:pPr>
              <w:jc w:val="left"/>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8.关键岗位从业人员配备情况（16分）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2F19437">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195EDBE7">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企业主要负责人和专职安全生产管理人员未通过安全生产知识和管理能力考核，或者取得证件但不在有效期内的，每起扣2分。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9C1151A">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综合企业台帐、相关证件和日常监管情况计分。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73314F9E">
            <w:pPr>
              <w:rPr>
                <w:rFonts w:hint="eastAsia" w:ascii="仿宋_GB2312" w:hAnsi="宋体" w:eastAsia="仿宋_GB2312" w:cs="仿宋_GB2312"/>
                <w:color w:val="000000"/>
                <w:sz w:val="22"/>
                <w:szCs w:val="22"/>
              </w:rPr>
            </w:pPr>
          </w:p>
        </w:tc>
      </w:tr>
      <w:tr w14:paraId="546DF7BF">
        <w:tblPrEx>
          <w:tblCellMar>
            <w:top w:w="0" w:type="dxa"/>
            <w:left w:w="108" w:type="dxa"/>
            <w:bottom w:w="0" w:type="dxa"/>
            <w:right w:w="108" w:type="dxa"/>
          </w:tblCellMar>
        </w:tblPrEx>
        <w:trPr>
          <w:trHeight w:val="1560" w:hRule="atLeast"/>
        </w:trPr>
        <w:tc>
          <w:tcPr>
            <w:tcW w:w="752" w:type="dxa"/>
            <w:vMerge w:val="restart"/>
            <w:tcBorders>
              <w:top w:val="single" w:color="auto" w:sz="4" w:space="0"/>
              <w:left w:val="single" w:color="auto" w:sz="4" w:space="0"/>
              <w:bottom w:val="single" w:color="auto" w:sz="4" w:space="0"/>
              <w:right w:val="single" w:color="000000" w:sz="4" w:space="0"/>
            </w:tcBorders>
            <w:noWrap/>
            <w:vAlign w:val="center"/>
          </w:tcPr>
          <w:p w14:paraId="289B5555">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四</w:t>
            </w:r>
          </w:p>
        </w:tc>
        <w:tc>
          <w:tcPr>
            <w:tcW w:w="1195" w:type="dxa"/>
            <w:vMerge w:val="restart"/>
            <w:tcBorders>
              <w:top w:val="single" w:color="auto" w:sz="4" w:space="0"/>
              <w:left w:val="single" w:color="000000" w:sz="4" w:space="0"/>
              <w:bottom w:val="single" w:color="auto" w:sz="4" w:space="0"/>
              <w:right w:val="single" w:color="auto" w:sz="4" w:space="0"/>
            </w:tcBorders>
            <w:noWrap w:val="0"/>
            <w:vAlign w:val="center"/>
          </w:tcPr>
          <w:p w14:paraId="3D2EC898">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安全</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制度</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（20分）</w:t>
            </w:r>
          </w:p>
        </w:tc>
        <w:tc>
          <w:tcPr>
            <w:tcW w:w="1710" w:type="dxa"/>
            <w:tcBorders>
              <w:top w:val="single" w:color="000000" w:sz="4" w:space="0"/>
              <w:left w:val="single" w:color="auto" w:sz="4" w:space="0"/>
              <w:bottom w:val="single" w:color="000000" w:sz="4" w:space="0"/>
              <w:right w:val="single" w:color="000000" w:sz="4" w:space="0"/>
            </w:tcBorders>
            <w:noWrap w:val="0"/>
            <w:vAlign w:val="center"/>
          </w:tcPr>
          <w:p w14:paraId="106316AA">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9.安全生产责任制(2分）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A1C5195">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2</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3970499D">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依法建立健全全员安全生产责任制，明确各部门、各岗位责任人员、责任内容和考核标准。制度不健全或未按规定开展考核并建立奖惩记录的，每起扣1分。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61DC59BD">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制度文本、企业台帐（安全生产工作会议、安全例会、奖惩记录等）和日常监管情况计分。主要岗位包括：主要负责人，分管安全生产和运输经营的负责人，管理科室、分支机构及其负责人，车队和车队队长，岗位从业人员等。</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CF2B660">
            <w:pPr>
              <w:rPr>
                <w:rFonts w:hint="eastAsia" w:ascii="仿宋_GB2312" w:hAnsi="宋体" w:eastAsia="仿宋_GB2312" w:cs="仿宋_GB2312"/>
                <w:color w:val="000000"/>
                <w:sz w:val="22"/>
                <w:szCs w:val="22"/>
              </w:rPr>
            </w:pPr>
          </w:p>
        </w:tc>
      </w:tr>
      <w:tr w14:paraId="48F860E8">
        <w:tblPrEx>
          <w:tblCellMar>
            <w:top w:w="0" w:type="dxa"/>
            <w:left w:w="108" w:type="dxa"/>
            <w:bottom w:w="0" w:type="dxa"/>
            <w:right w:w="108" w:type="dxa"/>
          </w:tblCellMar>
        </w:tblPrEx>
        <w:trPr>
          <w:trHeight w:val="1200" w:hRule="atLeast"/>
        </w:trPr>
        <w:tc>
          <w:tcPr>
            <w:tcW w:w="752" w:type="dxa"/>
            <w:vMerge w:val="continue"/>
            <w:tcBorders>
              <w:top w:val="single" w:color="auto" w:sz="4" w:space="0"/>
              <w:left w:val="single" w:color="auto" w:sz="4" w:space="0"/>
              <w:bottom w:val="single" w:color="auto" w:sz="4" w:space="0"/>
              <w:right w:val="single" w:color="000000" w:sz="4" w:space="0"/>
            </w:tcBorders>
            <w:noWrap/>
            <w:vAlign w:val="center"/>
          </w:tcPr>
          <w:p w14:paraId="3C612F41">
            <w:pPr>
              <w:jc w:val="center"/>
              <w:textAlignment w:val="center"/>
              <w:rPr>
                <w:rFonts w:hint="eastAsia" w:ascii="黑体" w:hAnsi="宋体" w:eastAsia="黑体" w:cs="黑体"/>
                <w:color w:val="000000"/>
                <w:sz w:val="22"/>
                <w:szCs w:val="22"/>
              </w:rPr>
            </w:pPr>
          </w:p>
        </w:tc>
        <w:tc>
          <w:tcPr>
            <w:tcW w:w="1195" w:type="dxa"/>
            <w:vMerge w:val="continue"/>
            <w:tcBorders>
              <w:top w:val="single" w:color="auto" w:sz="4" w:space="0"/>
              <w:left w:val="single" w:color="000000" w:sz="4" w:space="0"/>
              <w:bottom w:val="single" w:color="auto" w:sz="4" w:space="0"/>
              <w:right w:val="single" w:color="auto" w:sz="4" w:space="0"/>
            </w:tcBorders>
            <w:noWrap w:val="0"/>
            <w:vAlign w:val="center"/>
          </w:tcPr>
          <w:p w14:paraId="6C1CC7A0">
            <w:pPr>
              <w:jc w:val="center"/>
              <w:textAlignment w:val="center"/>
              <w:rPr>
                <w:rFonts w:hint="eastAsia" w:ascii="黑体" w:hAnsi="宋体" w:eastAsia="黑体" w:cs="黑体"/>
                <w:color w:val="000000"/>
                <w:sz w:val="22"/>
                <w:szCs w:val="22"/>
              </w:rPr>
            </w:pPr>
          </w:p>
        </w:tc>
        <w:tc>
          <w:tcPr>
            <w:tcW w:w="1710" w:type="dxa"/>
            <w:tcBorders>
              <w:top w:val="single" w:color="000000" w:sz="4" w:space="0"/>
              <w:left w:val="single" w:color="auto" w:sz="4" w:space="0"/>
              <w:bottom w:val="single" w:color="000000" w:sz="4" w:space="0"/>
              <w:right w:val="single" w:color="000000" w:sz="4" w:space="0"/>
            </w:tcBorders>
            <w:noWrap w:val="0"/>
            <w:vAlign w:val="center"/>
          </w:tcPr>
          <w:p w14:paraId="4967DDCB">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10.安全生产投入(2分）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8920BDA">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2</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76FAB40A">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企业按要求提取、设立安全生产专项资金，并合理使用。未设立专项资金，资金提取比例不达标的，扣2分；不按规定投入并使用安全生产资金的，每起扣1分。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2D3DD112">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企业有关财务记录：按照上一年度营业收入1.5%的比例确定企业本年度安全生产费用应计提金额，并逐月平均提取，专项核算。</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7C4BDB68">
            <w:pPr>
              <w:rPr>
                <w:rFonts w:hint="eastAsia" w:ascii="仿宋_GB2312" w:hAnsi="宋体" w:eastAsia="仿宋_GB2312" w:cs="仿宋_GB2312"/>
                <w:color w:val="000000"/>
                <w:sz w:val="22"/>
                <w:szCs w:val="22"/>
              </w:rPr>
            </w:pPr>
          </w:p>
        </w:tc>
      </w:tr>
      <w:tr w14:paraId="20145D48">
        <w:tblPrEx>
          <w:tblCellMar>
            <w:top w:w="0" w:type="dxa"/>
            <w:left w:w="108" w:type="dxa"/>
            <w:bottom w:w="0" w:type="dxa"/>
            <w:right w:w="108" w:type="dxa"/>
          </w:tblCellMar>
        </w:tblPrEx>
        <w:trPr>
          <w:trHeight w:val="1526" w:hRule="atLeast"/>
        </w:trPr>
        <w:tc>
          <w:tcPr>
            <w:tcW w:w="752" w:type="dxa"/>
            <w:vMerge w:val="continue"/>
            <w:tcBorders>
              <w:top w:val="single" w:color="auto" w:sz="4" w:space="0"/>
              <w:left w:val="single" w:color="auto" w:sz="4" w:space="0"/>
              <w:bottom w:val="single" w:color="auto" w:sz="4" w:space="0"/>
              <w:right w:val="single" w:color="000000" w:sz="4" w:space="0"/>
            </w:tcBorders>
            <w:noWrap/>
            <w:vAlign w:val="center"/>
          </w:tcPr>
          <w:p w14:paraId="472D2B01">
            <w:pPr>
              <w:jc w:val="center"/>
              <w:rPr>
                <w:rFonts w:hint="eastAsia" w:ascii="黑体" w:hAnsi="宋体" w:eastAsia="黑体" w:cs="黑体"/>
                <w:color w:val="000000"/>
                <w:sz w:val="22"/>
                <w:szCs w:val="22"/>
              </w:rPr>
            </w:pPr>
          </w:p>
        </w:tc>
        <w:tc>
          <w:tcPr>
            <w:tcW w:w="1195" w:type="dxa"/>
            <w:vMerge w:val="continue"/>
            <w:tcBorders>
              <w:top w:val="single" w:color="auto" w:sz="4" w:space="0"/>
              <w:left w:val="single" w:color="000000" w:sz="4" w:space="0"/>
              <w:bottom w:val="single" w:color="auto" w:sz="4" w:space="0"/>
              <w:right w:val="single" w:color="auto" w:sz="4" w:space="0"/>
            </w:tcBorders>
            <w:noWrap w:val="0"/>
            <w:vAlign w:val="center"/>
          </w:tcPr>
          <w:p w14:paraId="242F5AA6">
            <w:pPr>
              <w:jc w:val="center"/>
              <w:rPr>
                <w:rFonts w:hint="eastAsia" w:ascii="黑体" w:hAnsi="宋体" w:eastAsia="黑体" w:cs="黑体"/>
                <w:color w:val="000000"/>
                <w:sz w:val="22"/>
                <w:szCs w:val="22"/>
              </w:rPr>
            </w:pPr>
          </w:p>
        </w:tc>
        <w:tc>
          <w:tcPr>
            <w:tcW w:w="1710" w:type="dxa"/>
            <w:tcBorders>
              <w:top w:val="single" w:color="000000" w:sz="4" w:space="0"/>
              <w:left w:val="single" w:color="auto" w:sz="4" w:space="0"/>
              <w:bottom w:val="single" w:color="000000" w:sz="4" w:space="0"/>
              <w:right w:val="single" w:color="000000" w:sz="4" w:space="0"/>
            </w:tcBorders>
            <w:noWrap w:val="0"/>
            <w:vAlign w:val="center"/>
          </w:tcPr>
          <w:p w14:paraId="715FE107">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11.驾驶员管理制度(4分）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310B2D6">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477A7465">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立健全驾驶员管理制度并执行到位，未健全或者执行不到位以及抽查不符合要求的，每起扣1分。驾驶员制度包括：驾驶员聘用、岗前培训、安全教育培训及考核、从业行为定期考核、信息档案管理、调离和辞退、安全告诫、定期体检、防范疲劳驾驶等制度。</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6C01F2F">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核查驾驶员安全生产管理制度文本，综合企业台帐资料和日常监管情况，抽查10名驾驶员（不足10名全部抽查）相关记录后计分。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521E7FB5">
            <w:pPr>
              <w:rPr>
                <w:rFonts w:hint="eastAsia" w:ascii="仿宋_GB2312" w:hAnsi="宋体" w:eastAsia="仿宋_GB2312" w:cs="仿宋_GB2312"/>
                <w:color w:val="000000"/>
                <w:sz w:val="22"/>
                <w:szCs w:val="22"/>
              </w:rPr>
            </w:pPr>
          </w:p>
        </w:tc>
      </w:tr>
      <w:tr w14:paraId="16B3880F">
        <w:tblPrEx>
          <w:tblCellMar>
            <w:top w:w="0" w:type="dxa"/>
            <w:left w:w="108" w:type="dxa"/>
            <w:bottom w:w="0" w:type="dxa"/>
            <w:right w:w="108" w:type="dxa"/>
          </w:tblCellMar>
        </w:tblPrEx>
        <w:trPr>
          <w:trHeight w:val="1676" w:hRule="atLeast"/>
        </w:trPr>
        <w:tc>
          <w:tcPr>
            <w:tcW w:w="752" w:type="dxa"/>
            <w:vMerge w:val="continue"/>
            <w:tcBorders>
              <w:top w:val="single" w:color="auto" w:sz="4" w:space="0"/>
              <w:left w:val="single" w:color="auto" w:sz="4" w:space="0"/>
              <w:bottom w:val="single" w:color="auto" w:sz="4" w:space="0"/>
              <w:right w:val="single" w:color="000000" w:sz="4" w:space="0"/>
            </w:tcBorders>
            <w:noWrap/>
            <w:vAlign w:val="center"/>
          </w:tcPr>
          <w:p w14:paraId="517081D5">
            <w:pPr>
              <w:jc w:val="center"/>
              <w:rPr>
                <w:rFonts w:hint="eastAsia" w:ascii="黑体" w:hAnsi="宋体" w:eastAsia="黑体" w:cs="黑体"/>
                <w:color w:val="000000"/>
                <w:sz w:val="22"/>
                <w:szCs w:val="22"/>
              </w:rPr>
            </w:pPr>
          </w:p>
        </w:tc>
        <w:tc>
          <w:tcPr>
            <w:tcW w:w="1195" w:type="dxa"/>
            <w:vMerge w:val="continue"/>
            <w:tcBorders>
              <w:top w:val="single" w:color="auto" w:sz="4" w:space="0"/>
              <w:left w:val="single" w:color="000000" w:sz="4" w:space="0"/>
              <w:bottom w:val="single" w:color="auto" w:sz="4" w:space="0"/>
              <w:right w:val="single" w:color="auto" w:sz="4" w:space="0"/>
            </w:tcBorders>
            <w:noWrap w:val="0"/>
            <w:vAlign w:val="center"/>
          </w:tcPr>
          <w:p w14:paraId="7158CBFF">
            <w:pPr>
              <w:jc w:val="center"/>
              <w:rPr>
                <w:rFonts w:hint="eastAsia" w:ascii="黑体" w:hAnsi="宋体" w:eastAsia="黑体" w:cs="黑体"/>
                <w:color w:val="000000"/>
                <w:sz w:val="22"/>
                <w:szCs w:val="22"/>
              </w:rPr>
            </w:pPr>
          </w:p>
        </w:tc>
        <w:tc>
          <w:tcPr>
            <w:tcW w:w="1710" w:type="dxa"/>
            <w:tcBorders>
              <w:top w:val="single" w:color="000000" w:sz="4" w:space="0"/>
              <w:left w:val="single" w:color="auto" w:sz="4" w:space="0"/>
              <w:bottom w:val="single" w:color="000000" w:sz="4" w:space="0"/>
              <w:right w:val="single" w:color="000000" w:sz="4" w:space="0"/>
            </w:tcBorders>
            <w:noWrap w:val="0"/>
            <w:vAlign w:val="center"/>
          </w:tcPr>
          <w:p w14:paraId="6EE4AD1F">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12.车辆管理制度(4分）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BFE7329">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4E501DA9">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立健全车辆管理制度并执行到位，未健全或者执行不到位以及抽查不符合要求的，每起扣1分。车辆管理制度包括：车辆选用、车辆技术档案管理、车辆维护、车辆技术状况检查、安全技术检测、年度审验和检验、车辆改型和报废、安全停放等制度。</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C9D2A9F">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核查车辆安全生产管理制度文本，综合企业台帐资料和日常监管情况，抽查5辆车（不足5辆全部抽查）相关记录、车辆运行轨迹等情况后计分。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7067D7A8">
            <w:pPr>
              <w:rPr>
                <w:rFonts w:hint="eastAsia" w:ascii="仿宋_GB2312" w:hAnsi="宋体" w:eastAsia="仿宋_GB2312" w:cs="仿宋_GB2312"/>
                <w:color w:val="000000"/>
                <w:sz w:val="22"/>
                <w:szCs w:val="22"/>
              </w:rPr>
            </w:pPr>
          </w:p>
        </w:tc>
      </w:tr>
      <w:tr w14:paraId="3418A502">
        <w:tblPrEx>
          <w:tblCellMar>
            <w:top w:w="0" w:type="dxa"/>
            <w:left w:w="108" w:type="dxa"/>
            <w:bottom w:w="0" w:type="dxa"/>
            <w:right w:w="108" w:type="dxa"/>
          </w:tblCellMar>
        </w:tblPrEx>
        <w:trPr>
          <w:trHeight w:val="488" w:hRule="atLeast"/>
        </w:trPr>
        <w:tc>
          <w:tcPr>
            <w:tcW w:w="752" w:type="dxa"/>
            <w:tcBorders>
              <w:top w:val="single" w:color="auto" w:sz="4" w:space="0"/>
              <w:left w:val="single" w:color="auto" w:sz="4" w:space="0"/>
              <w:bottom w:val="single" w:color="auto" w:sz="4" w:space="0"/>
              <w:right w:val="single" w:color="000000" w:sz="4" w:space="0"/>
            </w:tcBorders>
            <w:noWrap/>
            <w:vAlign w:val="center"/>
          </w:tcPr>
          <w:p w14:paraId="444E8B4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95" w:type="dxa"/>
            <w:tcBorders>
              <w:top w:val="single" w:color="auto" w:sz="4" w:space="0"/>
              <w:left w:val="single" w:color="000000" w:sz="4" w:space="0"/>
              <w:bottom w:val="single" w:color="auto" w:sz="4" w:space="0"/>
              <w:right w:val="single" w:color="auto" w:sz="4" w:space="0"/>
            </w:tcBorders>
            <w:noWrap w:val="0"/>
            <w:vAlign w:val="center"/>
          </w:tcPr>
          <w:p w14:paraId="76A13D1F">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一级标准</w:t>
            </w:r>
          </w:p>
        </w:tc>
        <w:tc>
          <w:tcPr>
            <w:tcW w:w="1710" w:type="dxa"/>
            <w:tcBorders>
              <w:top w:val="single" w:color="000000" w:sz="4" w:space="0"/>
              <w:left w:val="single" w:color="auto" w:sz="4" w:space="0"/>
              <w:bottom w:val="single" w:color="000000" w:sz="4" w:space="0"/>
              <w:right w:val="single" w:color="000000" w:sz="4" w:space="0"/>
            </w:tcBorders>
            <w:noWrap w:val="0"/>
            <w:vAlign w:val="center"/>
          </w:tcPr>
          <w:p w14:paraId="704BF2C2">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二级标准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3404F51">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具体分值</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5EC6B2F4">
            <w:pPr>
              <w:jc w:val="center"/>
              <w:textAlignment w:val="center"/>
              <w:rPr>
                <w:rFonts w:hint="eastAsia" w:ascii="仿宋_GB2312" w:hAnsi="宋体" w:eastAsia="仿宋_GB2312" w:cs="仿宋_GB2312"/>
                <w:color w:val="000000"/>
                <w:kern w:val="0"/>
                <w:sz w:val="22"/>
                <w:szCs w:val="22"/>
                <w:lang w:bidi="ar"/>
              </w:rPr>
            </w:pPr>
            <w:r>
              <w:rPr>
                <w:rFonts w:hint="eastAsia" w:ascii="黑体" w:hAnsi="宋体" w:eastAsia="黑体" w:cs="黑体"/>
                <w:color w:val="000000"/>
                <w:kern w:val="0"/>
                <w:sz w:val="22"/>
                <w:szCs w:val="22"/>
                <w:lang w:bidi="ar"/>
              </w:rPr>
              <w:t>评估标准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1575004D">
            <w:pPr>
              <w:jc w:val="center"/>
              <w:textAlignment w:val="center"/>
              <w:rPr>
                <w:rFonts w:hint="eastAsia" w:ascii="仿宋_GB2312" w:hAnsi="宋体" w:eastAsia="仿宋_GB2312" w:cs="仿宋_GB2312"/>
                <w:color w:val="000000"/>
                <w:kern w:val="0"/>
                <w:sz w:val="22"/>
                <w:szCs w:val="22"/>
                <w:lang w:bidi="ar"/>
              </w:rPr>
            </w:pPr>
            <w:r>
              <w:rPr>
                <w:rFonts w:hint="eastAsia" w:ascii="黑体" w:hAnsi="宋体" w:eastAsia="黑体" w:cs="黑体"/>
                <w:color w:val="000000"/>
                <w:kern w:val="0"/>
                <w:sz w:val="22"/>
                <w:szCs w:val="22"/>
                <w:lang w:bidi="ar"/>
              </w:rPr>
              <w:t>评估方法</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5E06D634">
            <w:pPr>
              <w:jc w:val="center"/>
              <w:textAlignment w:val="center"/>
              <w:rPr>
                <w:rFonts w:hint="eastAsia" w:ascii="仿宋_GB2312" w:hAnsi="宋体" w:eastAsia="仿宋_GB2312" w:cs="仿宋_GB2312"/>
                <w:color w:val="000000"/>
                <w:sz w:val="22"/>
                <w:szCs w:val="22"/>
              </w:rPr>
            </w:pPr>
            <w:r>
              <w:rPr>
                <w:rFonts w:hint="eastAsia" w:ascii="黑体" w:hAnsi="宋体" w:eastAsia="黑体" w:cs="黑体"/>
                <w:color w:val="000000"/>
                <w:kern w:val="0"/>
                <w:sz w:val="22"/>
                <w:szCs w:val="22"/>
                <w:lang w:bidi="ar"/>
              </w:rPr>
              <w:t>得分</w:t>
            </w:r>
          </w:p>
        </w:tc>
      </w:tr>
      <w:tr w14:paraId="119372E0">
        <w:tblPrEx>
          <w:tblCellMar>
            <w:top w:w="0" w:type="dxa"/>
            <w:left w:w="108" w:type="dxa"/>
            <w:bottom w:w="0" w:type="dxa"/>
            <w:right w:w="108" w:type="dxa"/>
          </w:tblCellMar>
        </w:tblPrEx>
        <w:trPr>
          <w:trHeight w:val="2229" w:hRule="atLeast"/>
        </w:trPr>
        <w:tc>
          <w:tcPr>
            <w:tcW w:w="752" w:type="dxa"/>
            <w:vMerge w:val="restart"/>
            <w:tcBorders>
              <w:top w:val="single" w:color="000000" w:sz="4" w:space="0"/>
              <w:left w:val="single" w:color="000000" w:sz="4" w:space="0"/>
              <w:right w:val="single" w:color="000000" w:sz="4" w:space="0"/>
            </w:tcBorders>
            <w:noWrap/>
            <w:vAlign w:val="center"/>
          </w:tcPr>
          <w:p w14:paraId="725E95E9">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四</w:t>
            </w:r>
          </w:p>
        </w:tc>
        <w:tc>
          <w:tcPr>
            <w:tcW w:w="1195" w:type="dxa"/>
            <w:vMerge w:val="restart"/>
            <w:tcBorders>
              <w:top w:val="single" w:color="000000" w:sz="4" w:space="0"/>
              <w:left w:val="single" w:color="000000" w:sz="4" w:space="0"/>
              <w:right w:val="single" w:color="000000" w:sz="4" w:space="0"/>
            </w:tcBorders>
            <w:noWrap w:val="0"/>
            <w:vAlign w:val="center"/>
          </w:tcPr>
          <w:p w14:paraId="2720206F">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安全</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制度</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（20分）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851971">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13.安全生产操作规程(4分）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7CF69FF">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100EE69F">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根据岗位特点，分类制定安全生产操作规程，并执行到位。未健全或者执行不到位以及抽查不符合要求的，每起扣1分。操作规程包括：驾驶员行车操作规程、客运车辆日常检查和日常维护操作规程、车辆动态监控操作规程、其他相关安全运营操作规程。</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D766992">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综合各类安全生产操作规程文本、企业台帐资料和日常监管情况，抽查10名驾驶员（不足10人全部抽查）、2名车辆技术管理人员、2名动态监控人员，并通过询问等方式考核相关岗位操作规程掌握情况后计分。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10D72125">
            <w:pPr>
              <w:jc w:val="center"/>
              <w:rPr>
                <w:rFonts w:hint="eastAsia" w:ascii="仿宋_GB2312" w:hAnsi="宋体" w:eastAsia="仿宋_GB2312" w:cs="仿宋_GB2312"/>
                <w:color w:val="000000"/>
                <w:sz w:val="22"/>
                <w:szCs w:val="22"/>
              </w:rPr>
            </w:pPr>
          </w:p>
        </w:tc>
      </w:tr>
      <w:tr w14:paraId="2ECD9360">
        <w:tblPrEx>
          <w:tblCellMar>
            <w:top w:w="0" w:type="dxa"/>
            <w:left w:w="108" w:type="dxa"/>
            <w:bottom w:w="0" w:type="dxa"/>
            <w:right w:w="108" w:type="dxa"/>
          </w:tblCellMar>
        </w:tblPrEx>
        <w:trPr>
          <w:trHeight w:val="2608" w:hRule="atLeast"/>
        </w:trPr>
        <w:tc>
          <w:tcPr>
            <w:tcW w:w="752" w:type="dxa"/>
            <w:vMerge w:val="continue"/>
            <w:tcBorders>
              <w:left w:val="single" w:color="000000" w:sz="4" w:space="0"/>
              <w:bottom w:val="single" w:color="000000" w:sz="4" w:space="0"/>
              <w:right w:val="single" w:color="000000" w:sz="4" w:space="0"/>
            </w:tcBorders>
            <w:noWrap/>
            <w:vAlign w:val="center"/>
          </w:tcPr>
          <w:p w14:paraId="515864C8">
            <w:pPr>
              <w:jc w:val="center"/>
              <w:textAlignment w:val="center"/>
              <w:rPr>
                <w:rFonts w:hint="eastAsia" w:ascii="黑体" w:hAnsi="宋体" w:eastAsia="黑体" w:cs="黑体"/>
                <w:color w:val="000000"/>
                <w:kern w:val="0"/>
                <w:sz w:val="22"/>
                <w:szCs w:val="22"/>
                <w:lang w:bidi="ar"/>
              </w:rPr>
            </w:pPr>
          </w:p>
        </w:tc>
        <w:tc>
          <w:tcPr>
            <w:tcW w:w="1195" w:type="dxa"/>
            <w:vMerge w:val="continue"/>
            <w:tcBorders>
              <w:left w:val="single" w:color="000000" w:sz="4" w:space="0"/>
              <w:bottom w:val="single" w:color="000000" w:sz="4" w:space="0"/>
              <w:right w:val="single" w:color="000000" w:sz="4" w:space="0"/>
            </w:tcBorders>
            <w:noWrap w:val="0"/>
            <w:vAlign w:val="center"/>
          </w:tcPr>
          <w:p w14:paraId="79D2DB71">
            <w:pPr>
              <w:jc w:val="center"/>
              <w:textAlignment w:val="center"/>
              <w:rPr>
                <w:rFonts w:hint="eastAsia" w:ascii="黑体" w:hAnsi="宋体" w:eastAsia="黑体" w:cs="黑体"/>
                <w:color w:val="000000"/>
                <w:kern w:val="0"/>
                <w:sz w:val="22"/>
                <w:szCs w:val="22"/>
                <w:lang w:bidi="ar"/>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DF55241">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14.安全生产监督检查制度(4分）</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CC8B939">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170AD841">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制定并落实车辆动态信息统计分析和处理、安全风险辨识评估和隐患排查治理、安全生产社会监督、安全生产事故应急处置、应急救援、安全生产教育和培训等制度，未健全或者执行不到位的，每起扣1分。发现未在动态监控平台实现高风险路段安全提示、全程分段限速设置及提醒、驾驶员身份识别及驾驶时间记录的，每起扣1分。动态监控发现驾驶员违规行为后无处理记录的，每起扣1分。</w:t>
            </w:r>
          </w:p>
        </w:tc>
        <w:tc>
          <w:tcPr>
            <w:tcW w:w="3819" w:type="dxa"/>
            <w:gridSpan w:val="3"/>
            <w:tcBorders>
              <w:top w:val="single" w:color="000000" w:sz="4" w:space="0"/>
              <w:left w:val="single" w:color="000000" w:sz="4" w:space="0"/>
              <w:bottom w:val="single" w:color="000000" w:sz="4" w:space="0"/>
              <w:right w:val="single" w:color="000000" w:sz="4" w:space="0"/>
            </w:tcBorders>
            <w:noWrap w:val="0"/>
            <w:vAlign w:val="center"/>
          </w:tcPr>
          <w:p w14:paraId="3E7DD810">
            <w:pPr>
              <w:jc w:val="left"/>
              <w:textAlignment w:val="center"/>
              <w:rPr>
                <w:rFonts w:hint="eastAsia" w:ascii="仿宋_GB2312" w:hAnsi="宋体" w:eastAsia="仿宋_GB2312" w:cs="仿宋_GB2312"/>
                <w:color w:val="000000"/>
                <w:sz w:val="22"/>
                <w:szCs w:val="22"/>
              </w:rPr>
            </w:pPr>
            <w:r>
              <w:rPr>
                <w:rFonts w:ascii="仿宋_GB2312" w:hAnsi="宋体" w:eastAsia="仿宋_GB2312" w:cs="仿宋_GB2312"/>
                <w:color w:val="000000"/>
                <w:kern w:val="0"/>
                <w:sz w:val="22"/>
                <w:szCs w:val="22"/>
                <w:lang w:bidi="ar"/>
              </w:rPr>
              <w:t>核查相关安全生产管理制度文本</w:t>
            </w:r>
            <w:r>
              <w:rPr>
                <w:rFonts w:hint="eastAsia" w:ascii="仿宋_GB2312" w:hAnsi="宋体" w:eastAsia="仿宋_GB2312" w:cs="仿宋_GB2312"/>
                <w:color w:val="000000"/>
                <w:kern w:val="0"/>
                <w:sz w:val="22"/>
                <w:szCs w:val="22"/>
                <w:lang w:bidi="ar"/>
              </w:rPr>
              <w:t>、企业档案、台帐资料和日常监管等情况；对于</w:t>
            </w:r>
            <w:r>
              <w:rPr>
                <w:rFonts w:ascii="仿宋_GB2312" w:hAnsi="宋体" w:eastAsia="仿宋_GB2312" w:cs="仿宋_GB2312"/>
                <w:color w:val="000000"/>
                <w:kern w:val="0"/>
                <w:sz w:val="22"/>
                <w:szCs w:val="22"/>
                <w:lang w:bidi="ar"/>
              </w:rPr>
              <w:t>动态监控平台记录，</w:t>
            </w:r>
            <w:r>
              <w:rPr>
                <w:rFonts w:hint="eastAsia" w:ascii="仿宋_GB2312" w:hAnsi="宋体" w:eastAsia="仿宋_GB2312" w:cs="仿宋_GB2312"/>
                <w:color w:val="000000"/>
                <w:kern w:val="0"/>
                <w:sz w:val="22"/>
                <w:szCs w:val="22"/>
                <w:lang w:bidi="ar"/>
              </w:rPr>
              <w:t>随机抽查3辆客车，每辆车随机抽查5个运次记录后计分。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06D9BE29">
            <w:pPr>
              <w:jc w:val="center"/>
              <w:rPr>
                <w:rFonts w:hint="eastAsia" w:ascii="仿宋_GB2312" w:hAnsi="宋体" w:eastAsia="仿宋_GB2312" w:cs="仿宋_GB2312"/>
                <w:color w:val="000000"/>
                <w:sz w:val="22"/>
                <w:szCs w:val="22"/>
              </w:rPr>
            </w:pPr>
          </w:p>
        </w:tc>
      </w:tr>
      <w:tr w14:paraId="60F28F19">
        <w:tblPrEx>
          <w:tblCellMar>
            <w:top w:w="0" w:type="dxa"/>
            <w:left w:w="108" w:type="dxa"/>
            <w:bottom w:w="0" w:type="dxa"/>
            <w:right w:w="108" w:type="dxa"/>
          </w:tblCellMar>
        </w:tblPrEx>
        <w:trPr>
          <w:trHeight w:val="720" w:hRule="atLeast"/>
        </w:trPr>
        <w:tc>
          <w:tcPr>
            <w:tcW w:w="752" w:type="dxa"/>
            <w:vMerge w:val="restart"/>
            <w:tcBorders>
              <w:top w:val="single" w:color="000000" w:sz="4" w:space="0"/>
              <w:left w:val="single" w:color="000000" w:sz="4" w:space="0"/>
              <w:bottom w:val="single" w:color="000000" w:sz="4" w:space="0"/>
              <w:right w:val="single" w:color="000000" w:sz="4" w:space="0"/>
            </w:tcBorders>
            <w:noWrap/>
            <w:vAlign w:val="center"/>
          </w:tcPr>
          <w:p w14:paraId="3BBD3E52">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五</w:t>
            </w:r>
          </w:p>
        </w:tc>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FCB70A">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运营</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现状</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（20分）</w:t>
            </w:r>
          </w:p>
        </w:tc>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671CD">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15.安全生产责任事故与质量信誉考核（5分）</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677C1F">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5</w:t>
            </w:r>
          </w:p>
        </w:tc>
        <w:tc>
          <w:tcPr>
            <w:tcW w:w="52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7C8BC9">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企业近3年每发生1起一般道路客运安全生产责任事故扣1分，扣完为止；每发生1起较大道路客运安全生产责任事故扣2分，扣完为止；发生重大以上道路客运安全生产责任事故的，此项不得分。</w:t>
            </w:r>
          </w:p>
        </w:tc>
        <w:tc>
          <w:tcPr>
            <w:tcW w:w="381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45761C6">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综合企业台帐、近3年相关部门事故记录和通报文件、日常监管情况等资料计分。</w:t>
            </w:r>
          </w:p>
        </w:tc>
        <w:tc>
          <w:tcPr>
            <w:tcW w:w="923" w:type="dxa"/>
            <w:vMerge w:val="restart"/>
            <w:tcBorders>
              <w:top w:val="single" w:color="000000" w:sz="4" w:space="0"/>
              <w:left w:val="single" w:color="000000" w:sz="4" w:space="0"/>
              <w:bottom w:val="single" w:color="000000" w:sz="4" w:space="0"/>
              <w:right w:val="single" w:color="000000" w:sz="4" w:space="0"/>
            </w:tcBorders>
            <w:noWrap/>
            <w:vAlign w:val="center"/>
          </w:tcPr>
          <w:p w14:paraId="484ECE92">
            <w:pPr>
              <w:jc w:val="center"/>
              <w:rPr>
                <w:rFonts w:hint="eastAsia" w:ascii="仿宋_GB2312" w:hAnsi="宋体" w:eastAsia="仿宋_GB2312" w:cs="仿宋_GB2312"/>
                <w:color w:val="000000"/>
                <w:sz w:val="22"/>
                <w:szCs w:val="22"/>
              </w:rPr>
            </w:pPr>
          </w:p>
        </w:tc>
      </w:tr>
      <w:tr w14:paraId="6445C951">
        <w:tblPrEx>
          <w:tblCellMar>
            <w:top w:w="0" w:type="dxa"/>
            <w:left w:w="108" w:type="dxa"/>
            <w:bottom w:w="0" w:type="dxa"/>
            <w:right w:w="108" w:type="dxa"/>
          </w:tblCellMar>
        </w:tblPrEx>
        <w:trPr>
          <w:trHeight w:val="647" w:hRule="atLeast"/>
        </w:trPr>
        <w:tc>
          <w:tcPr>
            <w:tcW w:w="752" w:type="dxa"/>
            <w:vMerge w:val="continue"/>
            <w:tcBorders>
              <w:top w:val="single" w:color="000000" w:sz="4" w:space="0"/>
              <w:left w:val="single" w:color="000000" w:sz="4" w:space="0"/>
              <w:bottom w:val="single" w:color="000000" w:sz="4" w:space="0"/>
              <w:right w:val="single" w:color="000000" w:sz="4" w:space="0"/>
            </w:tcBorders>
            <w:noWrap/>
            <w:vAlign w:val="center"/>
          </w:tcPr>
          <w:p w14:paraId="1D9E4EA5">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15C1C">
            <w:pPr>
              <w:jc w:val="center"/>
              <w:rPr>
                <w:rFonts w:hint="eastAsia" w:ascii="黑体" w:hAnsi="宋体"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33D8B">
            <w:pPr>
              <w:jc w:val="left"/>
              <w:rPr>
                <w:rFonts w:hint="eastAsia" w:ascii="黑体" w:hAnsi="宋体" w:eastAsia="黑体" w:cs="黑体"/>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862AF">
            <w:pPr>
              <w:jc w:val="center"/>
              <w:rPr>
                <w:rFonts w:hint="eastAsia" w:ascii="黑体" w:hAnsi="宋体" w:eastAsia="黑体" w:cs="黑体"/>
                <w:color w:val="000000"/>
                <w:sz w:val="22"/>
                <w:szCs w:val="22"/>
              </w:rPr>
            </w:pPr>
          </w:p>
        </w:tc>
        <w:tc>
          <w:tcPr>
            <w:tcW w:w="52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5B823">
            <w:pPr>
              <w:jc w:val="left"/>
              <w:rPr>
                <w:rFonts w:hint="eastAsia" w:ascii="仿宋_GB2312" w:hAnsi="宋体" w:eastAsia="仿宋_GB2312" w:cs="仿宋_GB2312"/>
                <w:color w:val="000000"/>
                <w:sz w:val="22"/>
                <w:szCs w:val="22"/>
              </w:rPr>
            </w:pPr>
          </w:p>
        </w:tc>
        <w:tc>
          <w:tcPr>
            <w:tcW w:w="381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A0FD0F">
            <w:pPr>
              <w:jc w:val="left"/>
              <w:rPr>
                <w:rFonts w:hint="eastAsia" w:ascii="仿宋_GB2312" w:hAnsi="宋体" w:eastAsia="仿宋_GB2312" w:cs="仿宋_GB2312"/>
                <w:color w:val="000000"/>
                <w:sz w:val="22"/>
                <w:szCs w:val="22"/>
              </w:rPr>
            </w:pPr>
          </w:p>
        </w:tc>
        <w:tc>
          <w:tcPr>
            <w:tcW w:w="923" w:type="dxa"/>
            <w:vMerge w:val="continue"/>
            <w:tcBorders>
              <w:top w:val="single" w:color="000000" w:sz="4" w:space="0"/>
              <w:left w:val="single" w:color="000000" w:sz="4" w:space="0"/>
              <w:bottom w:val="single" w:color="000000" w:sz="4" w:space="0"/>
              <w:right w:val="single" w:color="000000" w:sz="4" w:space="0"/>
            </w:tcBorders>
            <w:noWrap/>
            <w:vAlign w:val="center"/>
          </w:tcPr>
          <w:p w14:paraId="11E3B956">
            <w:pPr>
              <w:jc w:val="center"/>
              <w:rPr>
                <w:rFonts w:hint="eastAsia" w:ascii="仿宋_GB2312" w:hAnsi="宋体" w:eastAsia="仿宋_GB2312" w:cs="仿宋_GB2312"/>
                <w:color w:val="000000"/>
                <w:sz w:val="22"/>
                <w:szCs w:val="22"/>
              </w:rPr>
            </w:pPr>
          </w:p>
        </w:tc>
      </w:tr>
      <w:tr w14:paraId="2150F1A8">
        <w:tblPrEx>
          <w:tblCellMar>
            <w:top w:w="0" w:type="dxa"/>
            <w:left w:w="108" w:type="dxa"/>
            <w:bottom w:w="0" w:type="dxa"/>
            <w:right w:w="108" w:type="dxa"/>
          </w:tblCellMar>
        </w:tblPrEx>
        <w:trPr>
          <w:trHeight w:val="1535" w:hRule="atLeast"/>
        </w:trPr>
        <w:tc>
          <w:tcPr>
            <w:tcW w:w="752" w:type="dxa"/>
            <w:vMerge w:val="continue"/>
            <w:tcBorders>
              <w:top w:val="single" w:color="000000" w:sz="4" w:space="0"/>
              <w:left w:val="single" w:color="000000" w:sz="4" w:space="0"/>
              <w:bottom w:val="single" w:color="auto" w:sz="4" w:space="0"/>
              <w:right w:val="single" w:color="000000" w:sz="4" w:space="0"/>
            </w:tcBorders>
            <w:noWrap/>
            <w:vAlign w:val="center"/>
          </w:tcPr>
          <w:p w14:paraId="06A90244">
            <w:pPr>
              <w:jc w:val="center"/>
              <w:rPr>
                <w:rFonts w:hint="eastAsia" w:ascii="黑体" w:hAnsi="宋体" w:eastAsia="黑体" w:cs="黑体"/>
                <w:color w:val="000000"/>
                <w:sz w:val="22"/>
                <w:szCs w:val="22"/>
              </w:rPr>
            </w:pPr>
          </w:p>
        </w:tc>
        <w:tc>
          <w:tcPr>
            <w:tcW w:w="1195" w:type="dxa"/>
            <w:vMerge w:val="continue"/>
            <w:tcBorders>
              <w:top w:val="single" w:color="000000" w:sz="4" w:space="0"/>
              <w:left w:val="single" w:color="000000" w:sz="4" w:space="0"/>
              <w:bottom w:val="single" w:color="auto" w:sz="4" w:space="0"/>
              <w:right w:val="single" w:color="000000" w:sz="4" w:space="0"/>
            </w:tcBorders>
            <w:noWrap w:val="0"/>
            <w:vAlign w:val="center"/>
          </w:tcPr>
          <w:p w14:paraId="6B44242D">
            <w:pPr>
              <w:jc w:val="center"/>
              <w:rPr>
                <w:rFonts w:hint="eastAsia" w:ascii="黑体" w:hAnsi="宋体" w:eastAsia="黑体" w:cs="黑体"/>
                <w:color w:val="000000"/>
                <w:sz w:val="22"/>
                <w:szCs w:val="22"/>
              </w:rPr>
            </w:pPr>
          </w:p>
        </w:tc>
        <w:tc>
          <w:tcPr>
            <w:tcW w:w="1710" w:type="dxa"/>
            <w:tcBorders>
              <w:top w:val="nil"/>
              <w:left w:val="single" w:color="000000" w:sz="4" w:space="0"/>
              <w:bottom w:val="single" w:color="auto" w:sz="4" w:space="0"/>
              <w:right w:val="single" w:color="000000" w:sz="4" w:space="0"/>
            </w:tcBorders>
            <w:noWrap w:val="0"/>
            <w:vAlign w:val="center"/>
          </w:tcPr>
          <w:p w14:paraId="233E38F8">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16.质量信誉考核情况（5分）</w:t>
            </w:r>
          </w:p>
        </w:tc>
        <w:tc>
          <w:tcPr>
            <w:tcW w:w="1096" w:type="dxa"/>
            <w:tcBorders>
              <w:top w:val="nil"/>
              <w:left w:val="single" w:color="000000" w:sz="4" w:space="0"/>
              <w:bottom w:val="single" w:color="auto" w:sz="4" w:space="0"/>
              <w:right w:val="single" w:color="000000" w:sz="4" w:space="0"/>
            </w:tcBorders>
            <w:noWrap w:val="0"/>
            <w:vAlign w:val="center"/>
          </w:tcPr>
          <w:p w14:paraId="35A46D24">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5</w:t>
            </w:r>
          </w:p>
        </w:tc>
        <w:tc>
          <w:tcPr>
            <w:tcW w:w="5249" w:type="dxa"/>
            <w:tcBorders>
              <w:top w:val="single" w:color="000000" w:sz="4" w:space="0"/>
              <w:left w:val="single" w:color="000000" w:sz="4" w:space="0"/>
              <w:bottom w:val="single" w:color="auto" w:sz="4" w:space="0"/>
              <w:right w:val="single" w:color="000000" w:sz="4" w:space="0"/>
            </w:tcBorders>
            <w:noWrap w:val="0"/>
            <w:vAlign w:val="center"/>
          </w:tcPr>
          <w:p w14:paraId="1425AB0A">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近3年质量信誉考核结果有不合格的，扣5分；考核结果为基本合格的，每起扣2分。</w:t>
            </w:r>
          </w:p>
        </w:tc>
        <w:tc>
          <w:tcPr>
            <w:tcW w:w="3819" w:type="dxa"/>
            <w:gridSpan w:val="3"/>
            <w:tcBorders>
              <w:top w:val="nil"/>
              <w:left w:val="single" w:color="000000" w:sz="4" w:space="0"/>
              <w:bottom w:val="single" w:color="auto" w:sz="4" w:space="0"/>
              <w:right w:val="single" w:color="000000" w:sz="4" w:space="0"/>
            </w:tcBorders>
            <w:noWrap w:val="0"/>
            <w:vAlign w:val="center"/>
          </w:tcPr>
          <w:p w14:paraId="337A5433">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近3年企业质量信誉考核结果情况。当地交通运输主管部门通过信用等级评价等工作代替质量信誉考核的，根据考核等次和考核结果换算扣分。</w:t>
            </w:r>
          </w:p>
        </w:tc>
        <w:tc>
          <w:tcPr>
            <w:tcW w:w="923" w:type="dxa"/>
            <w:tcBorders>
              <w:top w:val="nil"/>
              <w:left w:val="single" w:color="000000" w:sz="4" w:space="0"/>
              <w:bottom w:val="single" w:color="auto" w:sz="4" w:space="0"/>
              <w:right w:val="single" w:color="000000" w:sz="4" w:space="0"/>
            </w:tcBorders>
            <w:noWrap/>
            <w:vAlign w:val="center"/>
          </w:tcPr>
          <w:p w14:paraId="0D9DAFC8">
            <w:pPr>
              <w:jc w:val="center"/>
              <w:rPr>
                <w:rFonts w:hint="eastAsia" w:ascii="仿宋_GB2312" w:hAnsi="宋体" w:eastAsia="仿宋_GB2312" w:cs="仿宋_GB2312"/>
                <w:color w:val="000000"/>
                <w:sz w:val="22"/>
                <w:szCs w:val="22"/>
              </w:rPr>
            </w:pPr>
          </w:p>
        </w:tc>
      </w:tr>
      <w:tr w14:paraId="6DCBE358">
        <w:tblPrEx>
          <w:tblCellMar>
            <w:top w:w="0" w:type="dxa"/>
            <w:left w:w="108" w:type="dxa"/>
            <w:bottom w:w="0" w:type="dxa"/>
            <w:right w:w="108" w:type="dxa"/>
          </w:tblCellMar>
        </w:tblPrEx>
        <w:trPr>
          <w:trHeight w:val="571" w:hRule="atLeast"/>
        </w:trPr>
        <w:tc>
          <w:tcPr>
            <w:tcW w:w="752" w:type="dxa"/>
            <w:tcBorders>
              <w:top w:val="single" w:color="auto" w:sz="4" w:space="0"/>
              <w:left w:val="single" w:color="auto" w:sz="4" w:space="0"/>
              <w:bottom w:val="single" w:color="auto" w:sz="4" w:space="0"/>
              <w:right w:val="single" w:color="000000" w:sz="4" w:space="0"/>
            </w:tcBorders>
            <w:noWrap/>
            <w:vAlign w:val="center"/>
          </w:tcPr>
          <w:p w14:paraId="5334D29D">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95" w:type="dxa"/>
            <w:tcBorders>
              <w:top w:val="single" w:color="auto" w:sz="4" w:space="0"/>
              <w:left w:val="single" w:color="000000" w:sz="4" w:space="0"/>
              <w:bottom w:val="single" w:color="auto" w:sz="4" w:space="0"/>
              <w:right w:val="single" w:color="000000" w:sz="4" w:space="0"/>
            </w:tcBorders>
            <w:noWrap w:val="0"/>
            <w:vAlign w:val="center"/>
          </w:tcPr>
          <w:p w14:paraId="324E768E">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一级标准</w:t>
            </w:r>
          </w:p>
        </w:tc>
        <w:tc>
          <w:tcPr>
            <w:tcW w:w="1710" w:type="dxa"/>
            <w:tcBorders>
              <w:top w:val="single" w:color="auto" w:sz="4" w:space="0"/>
              <w:left w:val="single" w:color="000000" w:sz="4" w:space="0"/>
              <w:bottom w:val="single" w:color="auto" w:sz="4" w:space="0"/>
              <w:right w:val="single" w:color="000000" w:sz="4" w:space="0"/>
            </w:tcBorders>
            <w:noWrap w:val="0"/>
            <w:vAlign w:val="center"/>
          </w:tcPr>
          <w:p w14:paraId="3344E8A7">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二级标准</w:t>
            </w:r>
          </w:p>
        </w:tc>
        <w:tc>
          <w:tcPr>
            <w:tcW w:w="1096" w:type="dxa"/>
            <w:tcBorders>
              <w:top w:val="single" w:color="auto" w:sz="4" w:space="0"/>
              <w:left w:val="single" w:color="000000" w:sz="4" w:space="0"/>
              <w:bottom w:val="single" w:color="auto" w:sz="4" w:space="0"/>
              <w:right w:val="single" w:color="000000" w:sz="4" w:space="0"/>
            </w:tcBorders>
            <w:noWrap w:val="0"/>
            <w:vAlign w:val="center"/>
          </w:tcPr>
          <w:p w14:paraId="44B87020">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具体分值</w:t>
            </w:r>
          </w:p>
        </w:tc>
        <w:tc>
          <w:tcPr>
            <w:tcW w:w="5249" w:type="dxa"/>
            <w:tcBorders>
              <w:top w:val="single" w:color="auto" w:sz="4" w:space="0"/>
              <w:left w:val="single" w:color="000000" w:sz="4" w:space="0"/>
              <w:bottom w:val="single" w:color="auto" w:sz="4" w:space="0"/>
              <w:right w:val="single" w:color="000000" w:sz="4" w:space="0"/>
            </w:tcBorders>
            <w:noWrap w:val="0"/>
            <w:vAlign w:val="center"/>
          </w:tcPr>
          <w:p w14:paraId="5F810B1D">
            <w:pPr>
              <w:jc w:val="center"/>
              <w:textAlignment w:val="center"/>
              <w:rPr>
                <w:rFonts w:hint="eastAsia" w:ascii="仿宋_GB2312" w:hAnsi="宋体" w:eastAsia="仿宋_GB2312" w:cs="仿宋_GB2312"/>
                <w:color w:val="000000"/>
                <w:kern w:val="0"/>
                <w:sz w:val="22"/>
                <w:szCs w:val="22"/>
                <w:lang w:bidi="ar"/>
              </w:rPr>
            </w:pPr>
            <w:r>
              <w:rPr>
                <w:rFonts w:hint="eastAsia" w:ascii="黑体" w:hAnsi="宋体" w:eastAsia="黑体" w:cs="黑体"/>
                <w:color w:val="000000"/>
                <w:kern w:val="0"/>
                <w:sz w:val="22"/>
                <w:szCs w:val="22"/>
                <w:lang w:bidi="ar"/>
              </w:rPr>
              <w:t>评估标准</w:t>
            </w:r>
          </w:p>
        </w:tc>
        <w:tc>
          <w:tcPr>
            <w:tcW w:w="3819" w:type="dxa"/>
            <w:gridSpan w:val="3"/>
            <w:tcBorders>
              <w:top w:val="single" w:color="auto" w:sz="4" w:space="0"/>
              <w:left w:val="single" w:color="000000" w:sz="4" w:space="0"/>
              <w:bottom w:val="single" w:color="auto" w:sz="4" w:space="0"/>
              <w:right w:val="single" w:color="000000" w:sz="4" w:space="0"/>
            </w:tcBorders>
            <w:noWrap w:val="0"/>
            <w:vAlign w:val="center"/>
          </w:tcPr>
          <w:p w14:paraId="4DB82945">
            <w:pPr>
              <w:jc w:val="center"/>
              <w:textAlignment w:val="center"/>
              <w:rPr>
                <w:rFonts w:hint="eastAsia" w:ascii="仿宋_GB2312" w:hAnsi="宋体" w:eastAsia="仿宋_GB2312" w:cs="仿宋_GB2312"/>
                <w:color w:val="000000"/>
                <w:kern w:val="0"/>
                <w:sz w:val="22"/>
                <w:szCs w:val="22"/>
                <w:lang w:bidi="ar"/>
              </w:rPr>
            </w:pPr>
            <w:r>
              <w:rPr>
                <w:rFonts w:hint="eastAsia" w:ascii="黑体" w:hAnsi="宋体" w:eastAsia="黑体" w:cs="黑体"/>
                <w:color w:val="000000"/>
                <w:kern w:val="0"/>
                <w:sz w:val="22"/>
                <w:szCs w:val="22"/>
                <w:lang w:bidi="ar"/>
              </w:rPr>
              <w:t>评估方法</w:t>
            </w:r>
          </w:p>
        </w:tc>
        <w:tc>
          <w:tcPr>
            <w:tcW w:w="923" w:type="dxa"/>
            <w:tcBorders>
              <w:top w:val="single" w:color="auto" w:sz="4" w:space="0"/>
              <w:left w:val="single" w:color="000000" w:sz="4" w:space="0"/>
              <w:bottom w:val="single" w:color="auto" w:sz="4" w:space="0"/>
              <w:right w:val="single" w:color="auto" w:sz="4" w:space="0"/>
            </w:tcBorders>
            <w:noWrap/>
            <w:vAlign w:val="center"/>
          </w:tcPr>
          <w:p w14:paraId="372999E3">
            <w:pPr>
              <w:jc w:val="center"/>
              <w:textAlignment w:val="center"/>
              <w:rPr>
                <w:rFonts w:hint="eastAsia" w:ascii="仿宋_GB2312" w:hAnsi="宋体" w:eastAsia="仿宋_GB2312" w:cs="仿宋_GB2312"/>
                <w:color w:val="000000"/>
                <w:sz w:val="22"/>
                <w:szCs w:val="22"/>
              </w:rPr>
            </w:pPr>
            <w:r>
              <w:rPr>
                <w:rFonts w:hint="eastAsia" w:ascii="黑体" w:hAnsi="宋体" w:eastAsia="黑体" w:cs="黑体"/>
                <w:color w:val="000000"/>
                <w:kern w:val="0"/>
                <w:sz w:val="22"/>
                <w:szCs w:val="22"/>
                <w:lang w:bidi="ar"/>
              </w:rPr>
              <w:t>得分</w:t>
            </w:r>
          </w:p>
        </w:tc>
      </w:tr>
      <w:tr w14:paraId="6E57DB37">
        <w:tblPrEx>
          <w:tblCellMar>
            <w:top w:w="0" w:type="dxa"/>
            <w:left w:w="108" w:type="dxa"/>
            <w:bottom w:w="0" w:type="dxa"/>
            <w:right w:w="108" w:type="dxa"/>
          </w:tblCellMar>
        </w:tblPrEx>
        <w:trPr>
          <w:trHeight w:val="2104" w:hRule="atLeast"/>
        </w:trPr>
        <w:tc>
          <w:tcPr>
            <w:tcW w:w="752" w:type="dxa"/>
            <w:tcBorders>
              <w:top w:val="single" w:color="auto" w:sz="4" w:space="0"/>
              <w:left w:val="single" w:color="000000" w:sz="4" w:space="0"/>
              <w:bottom w:val="single" w:color="000000" w:sz="4" w:space="0"/>
              <w:right w:val="single" w:color="000000" w:sz="4" w:space="0"/>
            </w:tcBorders>
            <w:noWrap/>
            <w:vAlign w:val="center"/>
          </w:tcPr>
          <w:p w14:paraId="6624CDED">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五</w:t>
            </w:r>
          </w:p>
        </w:tc>
        <w:tc>
          <w:tcPr>
            <w:tcW w:w="1195" w:type="dxa"/>
            <w:tcBorders>
              <w:top w:val="single" w:color="auto" w:sz="4" w:space="0"/>
              <w:left w:val="single" w:color="000000" w:sz="4" w:space="0"/>
              <w:bottom w:val="single" w:color="000000" w:sz="4" w:space="0"/>
              <w:right w:val="single" w:color="000000" w:sz="4" w:space="0"/>
            </w:tcBorders>
            <w:noWrap/>
            <w:vAlign w:val="center"/>
          </w:tcPr>
          <w:p w14:paraId="475CDDB7">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运营</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现状</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（20分）</w:t>
            </w:r>
          </w:p>
        </w:tc>
        <w:tc>
          <w:tcPr>
            <w:tcW w:w="1710" w:type="dxa"/>
            <w:tcBorders>
              <w:top w:val="single" w:color="auto" w:sz="4" w:space="0"/>
              <w:left w:val="single" w:color="000000" w:sz="4" w:space="0"/>
              <w:bottom w:val="single" w:color="000000" w:sz="4" w:space="0"/>
              <w:right w:val="single" w:color="000000" w:sz="4" w:space="0"/>
            </w:tcBorders>
            <w:noWrap/>
            <w:vAlign w:val="center"/>
          </w:tcPr>
          <w:p w14:paraId="009D5C9E">
            <w:pPr>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17.车辆违法违规经营（10分）</w:t>
            </w:r>
          </w:p>
        </w:tc>
        <w:tc>
          <w:tcPr>
            <w:tcW w:w="1096" w:type="dxa"/>
            <w:tcBorders>
              <w:top w:val="single" w:color="auto" w:sz="4" w:space="0"/>
              <w:left w:val="single" w:color="000000" w:sz="4" w:space="0"/>
              <w:bottom w:val="single" w:color="000000" w:sz="4" w:space="0"/>
              <w:right w:val="single" w:color="000000" w:sz="4" w:space="0"/>
            </w:tcBorders>
            <w:noWrap/>
            <w:vAlign w:val="center"/>
          </w:tcPr>
          <w:p w14:paraId="406A1B6D">
            <w:pPr>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10</w:t>
            </w:r>
          </w:p>
        </w:tc>
        <w:tc>
          <w:tcPr>
            <w:tcW w:w="5249" w:type="dxa"/>
            <w:tcBorders>
              <w:top w:val="single" w:color="auto" w:sz="4" w:space="0"/>
              <w:left w:val="single" w:color="000000" w:sz="4" w:space="0"/>
              <w:bottom w:val="single" w:color="000000" w:sz="4" w:space="0"/>
              <w:right w:val="single" w:color="000000" w:sz="4" w:space="0"/>
            </w:tcBorders>
            <w:noWrap w:val="0"/>
            <w:vAlign w:val="center"/>
          </w:tcPr>
          <w:p w14:paraId="3A60F42B">
            <w:pPr>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线路车辆上一年度存在违法违规经营行为、虚假接驳、凌晨2-5点违规通行等行为每起扣2分。多台车辆累计扣分。违法违规行为以相关部门行政处罚记录、相关信息系统记录数据为准。</w:t>
            </w:r>
          </w:p>
        </w:tc>
        <w:tc>
          <w:tcPr>
            <w:tcW w:w="3819" w:type="dxa"/>
            <w:gridSpan w:val="3"/>
            <w:tcBorders>
              <w:top w:val="single" w:color="auto" w:sz="4" w:space="0"/>
              <w:left w:val="single" w:color="000000" w:sz="4" w:space="0"/>
              <w:bottom w:val="single" w:color="000000" w:sz="4" w:space="0"/>
              <w:right w:val="single" w:color="000000" w:sz="4" w:space="0"/>
            </w:tcBorders>
            <w:noWrap/>
            <w:vAlign w:val="center"/>
          </w:tcPr>
          <w:p w14:paraId="21B52AD6">
            <w:pPr>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通过</w:t>
            </w:r>
            <w:r>
              <w:rPr>
                <w:rFonts w:ascii="仿宋_GB2312" w:hAnsi="宋体" w:eastAsia="仿宋_GB2312" w:cs="仿宋_GB2312"/>
                <w:color w:val="000000"/>
                <w:kern w:val="0"/>
                <w:sz w:val="22"/>
                <w:szCs w:val="22"/>
                <w:lang w:bidi="ar"/>
              </w:rPr>
              <w:t>核查交通运输主管部门交通运输行政处罚和公安交管部门道路交通安全违法行为处罚记录</w:t>
            </w:r>
            <w:r>
              <w:rPr>
                <w:rFonts w:hint="eastAsia" w:ascii="仿宋_GB2312" w:hAnsi="宋体" w:eastAsia="仿宋_GB2312" w:cs="仿宋_GB2312"/>
                <w:color w:val="000000"/>
                <w:kern w:val="0"/>
                <w:sz w:val="22"/>
                <w:szCs w:val="22"/>
                <w:lang w:bidi="ar"/>
              </w:rPr>
              <w:t>、</w:t>
            </w:r>
            <w:r>
              <w:rPr>
                <w:rFonts w:ascii="仿宋_GB2312" w:hAnsi="宋体" w:eastAsia="仿宋_GB2312" w:cs="仿宋_GB2312"/>
                <w:color w:val="000000"/>
                <w:kern w:val="0"/>
                <w:sz w:val="22"/>
                <w:szCs w:val="22"/>
                <w:lang w:bidi="ar"/>
              </w:rPr>
              <w:t>道路运政管理信息系统、全国道路客运接驳运输管理平台</w:t>
            </w:r>
            <w:r>
              <w:rPr>
                <w:rFonts w:hint="eastAsia" w:ascii="仿宋_GB2312" w:hAnsi="宋体" w:eastAsia="仿宋_GB2312" w:cs="仿宋_GB2312"/>
                <w:color w:val="000000"/>
                <w:kern w:val="0"/>
                <w:sz w:val="22"/>
                <w:szCs w:val="22"/>
                <w:lang w:bidi="ar"/>
              </w:rPr>
              <w:t xml:space="preserve">等信息系统记录计分。 </w:t>
            </w:r>
          </w:p>
        </w:tc>
        <w:tc>
          <w:tcPr>
            <w:tcW w:w="923" w:type="dxa"/>
            <w:tcBorders>
              <w:top w:val="single" w:color="auto" w:sz="4" w:space="0"/>
              <w:left w:val="single" w:color="000000" w:sz="4" w:space="0"/>
              <w:bottom w:val="single" w:color="000000" w:sz="4" w:space="0"/>
              <w:right w:val="single" w:color="000000" w:sz="4" w:space="0"/>
            </w:tcBorders>
            <w:noWrap/>
            <w:vAlign w:val="center"/>
          </w:tcPr>
          <w:p w14:paraId="28CF0EA4">
            <w:pPr>
              <w:jc w:val="center"/>
              <w:textAlignment w:val="center"/>
              <w:rPr>
                <w:rFonts w:hint="eastAsia" w:ascii="仿宋_GB2312" w:hAnsi="宋体" w:eastAsia="仿宋_GB2312" w:cs="仿宋_GB2312"/>
                <w:color w:val="000000"/>
                <w:kern w:val="0"/>
                <w:sz w:val="22"/>
                <w:szCs w:val="22"/>
                <w:lang w:bidi="ar"/>
              </w:rPr>
            </w:pPr>
          </w:p>
        </w:tc>
      </w:tr>
      <w:tr w14:paraId="699894FE">
        <w:tblPrEx>
          <w:tblCellMar>
            <w:top w:w="0" w:type="dxa"/>
            <w:left w:w="108" w:type="dxa"/>
            <w:bottom w:w="0" w:type="dxa"/>
            <w:right w:w="108" w:type="dxa"/>
          </w:tblCellMar>
        </w:tblPrEx>
        <w:trPr>
          <w:trHeight w:val="2089" w:hRule="atLeast"/>
        </w:trPr>
        <w:tc>
          <w:tcPr>
            <w:tcW w:w="3657" w:type="dxa"/>
            <w:gridSpan w:val="3"/>
            <w:tcBorders>
              <w:top w:val="single" w:color="000000" w:sz="4" w:space="0"/>
              <w:left w:val="single" w:color="000000" w:sz="4" w:space="0"/>
              <w:bottom w:val="single" w:color="000000" w:sz="4" w:space="0"/>
              <w:right w:val="single" w:color="000000" w:sz="4" w:space="0"/>
            </w:tcBorders>
            <w:noWrap/>
            <w:vAlign w:val="center"/>
          </w:tcPr>
          <w:p w14:paraId="12C7FEDC">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总  分</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B0FBB24">
            <w:pPr>
              <w:jc w:val="center"/>
              <w:rPr>
                <w:rFonts w:hint="eastAsia" w:ascii="黑体" w:hAnsi="宋体" w:eastAsia="黑体" w:cs="黑体"/>
                <w:color w:val="000000"/>
                <w:sz w:val="22"/>
                <w:szCs w:val="22"/>
              </w:rPr>
            </w:pPr>
          </w:p>
        </w:tc>
        <w:tc>
          <w:tcPr>
            <w:tcW w:w="5249" w:type="dxa"/>
            <w:tcBorders>
              <w:top w:val="single" w:color="000000" w:sz="4" w:space="0"/>
              <w:left w:val="single" w:color="000000" w:sz="4" w:space="0"/>
              <w:bottom w:val="single" w:color="000000" w:sz="4" w:space="0"/>
              <w:right w:val="single" w:color="000000" w:sz="4" w:space="0"/>
            </w:tcBorders>
            <w:noWrap w:val="0"/>
            <w:vAlign w:val="center"/>
          </w:tcPr>
          <w:p w14:paraId="28168FAC">
            <w:pPr>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高风险：累计扣分分值40分及以上的或者任一大项扣分大于40%（含）。</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中风险：累计扣分分值介于20分至40分之间的或任一大项扣分大于20%（含）、低于40%。</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低风险：累计扣分分值20分以下且任一大项扣分小于20%。</w:t>
            </w:r>
          </w:p>
        </w:tc>
        <w:tc>
          <w:tcPr>
            <w:tcW w:w="1405" w:type="dxa"/>
            <w:tcBorders>
              <w:top w:val="single" w:color="000000" w:sz="4" w:space="0"/>
              <w:left w:val="single" w:color="000000" w:sz="4" w:space="0"/>
              <w:bottom w:val="single" w:color="000000" w:sz="4" w:space="0"/>
              <w:right w:val="single" w:color="000000" w:sz="4" w:space="0"/>
            </w:tcBorders>
            <w:noWrap/>
            <w:vAlign w:val="center"/>
          </w:tcPr>
          <w:p w14:paraId="4BB7BBA2">
            <w:pPr>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评估结果</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6F981599">
            <w:pPr>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u w:val="single"/>
                <w:lang w:bidi="ar"/>
              </w:rPr>
              <w:t xml:space="preserve">   </w:t>
            </w:r>
            <w:r>
              <w:rPr>
                <w:rFonts w:hint="eastAsia" w:ascii="仿宋_GB2312" w:hAnsi="宋体" w:eastAsia="仿宋_GB2312" w:cs="仿宋_GB2312"/>
                <w:color w:val="000000"/>
                <w:kern w:val="0"/>
                <w:sz w:val="22"/>
                <w:szCs w:val="22"/>
                <w:lang w:bidi="ar"/>
              </w:rPr>
              <w:t>风险</w:t>
            </w:r>
          </w:p>
        </w:tc>
        <w:tc>
          <w:tcPr>
            <w:tcW w:w="1428" w:type="dxa"/>
            <w:tcBorders>
              <w:top w:val="single" w:color="000000" w:sz="4" w:space="0"/>
              <w:left w:val="single" w:color="000000" w:sz="4" w:space="0"/>
              <w:bottom w:val="single" w:color="000000" w:sz="4" w:space="0"/>
              <w:right w:val="single" w:color="000000" w:sz="4" w:space="0"/>
            </w:tcBorders>
            <w:noWrap/>
            <w:vAlign w:val="center"/>
          </w:tcPr>
          <w:p w14:paraId="207A15A0">
            <w:pPr>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评估得分</w:t>
            </w: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452A792">
            <w:pP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      </w:t>
            </w:r>
          </w:p>
        </w:tc>
      </w:tr>
      <w:tr w14:paraId="152EC1E8">
        <w:tblPrEx>
          <w:tblCellMar>
            <w:top w:w="0" w:type="dxa"/>
            <w:left w:w="108" w:type="dxa"/>
            <w:bottom w:w="0" w:type="dxa"/>
            <w:right w:w="108" w:type="dxa"/>
          </w:tblCellMar>
        </w:tblPrEx>
        <w:trPr>
          <w:trHeight w:val="912" w:hRule="atLeast"/>
        </w:trPr>
        <w:tc>
          <w:tcPr>
            <w:tcW w:w="3657" w:type="dxa"/>
            <w:gridSpan w:val="3"/>
            <w:tcBorders>
              <w:top w:val="single" w:color="000000" w:sz="4" w:space="0"/>
              <w:left w:val="single" w:color="000000" w:sz="4" w:space="0"/>
              <w:bottom w:val="single" w:color="000000" w:sz="4" w:space="0"/>
              <w:right w:val="single" w:color="000000" w:sz="4" w:space="0"/>
            </w:tcBorders>
            <w:noWrap/>
            <w:vAlign w:val="center"/>
          </w:tcPr>
          <w:p w14:paraId="7E74358B">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评估完成时间</w:t>
            </w:r>
          </w:p>
        </w:tc>
        <w:tc>
          <w:tcPr>
            <w:tcW w:w="11087" w:type="dxa"/>
            <w:gridSpan w:val="6"/>
            <w:tcBorders>
              <w:top w:val="single" w:color="000000" w:sz="4" w:space="0"/>
              <w:left w:val="single" w:color="000000" w:sz="4" w:space="0"/>
              <w:bottom w:val="single" w:color="000000" w:sz="4" w:space="0"/>
              <w:right w:val="single" w:color="000000" w:sz="4" w:space="0"/>
            </w:tcBorders>
            <w:noWrap/>
            <w:vAlign w:val="center"/>
          </w:tcPr>
          <w:p w14:paraId="13A6E9BE">
            <w:pPr>
              <w:textAlignment w:val="center"/>
              <w:rPr>
                <w:rFonts w:hint="eastAsia" w:ascii="仿宋_GB2312" w:hAnsi="宋体" w:eastAsia="仿宋_GB2312" w:cs="仿宋_GB2312"/>
                <w:color w:val="000000"/>
                <w:kern w:val="0"/>
                <w:sz w:val="22"/>
                <w:szCs w:val="22"/>
                <w:lang w:bidi="ar"/>
              </w:rPr>
            </w:pPr>
          </w:p>
        </w:tc>
      </w:tr>
      <w:tr w14:paraId="44D5E4F8">
        <w:tblPrEx>
          <w:tblCellMar>
            <w:top w:w="0" w:type="dxa"/>
            <w:left w:w="108" w:type="dxa"/>
            <w:bottom w:w="0" w:type="dxa"/>
            <w:right w:w="108" w:type="dxa"/>
          </w:tblCellMar>
        </w:tblPrEx>
        <w:trPr>
          <w:trHeight w:val="1278" w:hRule="atLeast"/>
        </w:trPr>
        <w:tc>
          <w:tcPr>
            <w:tcW w:w="3657" w:type="dxa"/>
            <w:gridSpan w:val="3"/>
            <w:tcBorders>
              <w:top w:val="single" w:color="000000" w:sz="4" w:space="0"/>
              <w:left w:val="single" w:color="000000" w:sz="4" w:space="0"/>
              <w:bottom w:val="single" w:color="000000" w:sz="4" w:space="0"/>
              <w:right w:val="single" w:color="000000" w:sz="4" w:space="0"/>
            </w:tcBorders>
            <w:noWrap/>
            <w:vAlign w:val="center"/>
          </w:tcPr>
          <w:p w14:paraId="5BBBC6DE">
            <w:pPr>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评估人员/评估单位</w:t>
            </w:r>
            <w:r>
              <w:rPr>
                <w:rFonts w:hint="eastAsia" w:ascii="仿宋_GB2312" w:hAnsi="宋体" w:eastAsia="仿宋_GB2312" w:cs="仿宋_GB2312"/>
                <w:color w:val="000000"/>
                <w:kern w:val="0"/>
                <w:sz w:val="22"/>
                <w:szCs w:val="22"/>
                <w:lang w:bidi="ar"/>
              </w:rPr>
              <w:t>（签字/盖章）</w:t>
            </w:r>
          </w:p>
        </w:tc>
        <w:tc>
          <w:tcPr>
            <w:tcW w:w="11087" w:type="dxa"/>
            <w:gridSpan w:val="6"/>
            <w:tcBorders>
              <w:top w:val="single" w:color="000000" w:sz="4" w:space="0"/>
              <w:left w:val="single" w:color="000000" w:sz="4" w:space="0"/>
              <w:bottom w:val="single" w:color="000000" w:sz="4" w:space="0"/>
              <w:right w:val="single" w:color="000000" w:sz="4" w:space="0"/>
            </w:tcBorders>
            <w:noWrap/>
            <w:vAlign w:val="center"/>
          </w:tcPr>
          <w:p w14:paraId="3E3689B7">
            <w:pPr>
              <w:textAlignment w:val="center"/>
              <w:rPr>
                <w:rFonts w:hint="eastAsia" w:ascii="仿宋_GB2312" w:hAnsi="宋体" w:eastAsia="仿宋_GB2312" w:cs="仿宋_GB2312"/>
                <w:color w:val="000000"/>
                <w:kern w:val="0"/>
                <w:sz w:val="22"/>
                <w:szCs w:val="22"/>
                <w:lang w:bidi="ar"/>
              </w:rPr>
            </w:pPr>
          </w:p>
        </w:tc>
      </w:tr>
    </w:tbl>
    <w:p w14:paraId="4177DB1E">
      <w:pPr>
        <w:pStyle w:val="3"/>
        <w:shd w:val="clear" w:color="auto" w:fill="FFFFFF"/>
        <w:spacing w:before="0" w:beforeAutospacing="0" w:after="0" w:afterAutospacing="0" w:line="600" w:lineRule="exact"/>
        <w:rPr>
          <w:rFonts w:hint="eastAsia" w:ascii="仿宋_GB2312" w:hAnsi="仿宋_GB2312" w:eastAsia="仿宋_GB2312" w:cs="仿宋_GB2312"/>
          <w:kern w:val="2"/>
          <w:sz w:val="32"/>
          <w:szCs w:val="32"/>
        </w:rPr>
      </w:pPr>
    </w:p>
    <w:p w14:paraId="398560D5"/>
    <w:sectPr>
      <w:footerReference r:id="rId3" w:type="default"/>
      <w:pgSz w:w="16838" w:h="11906" w:orient="landscape"/>
      <w:pgMar w:top="1800" w:right="873" w:bottom="1800" w:left="87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F9B936F-C82B-46F5-ADFB-4B0AA5ED9D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E3694AA-20C4-4FB7-985A-B5C49E4E2B9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2545A05A-AA44-410A-93FB-4DE62019957A}"/>
  </w:font>
  <w:font w:name="方正小标宋简体">
    <w:panose1 w:val="02000000000000000000"/>
    <w:charset w:val="86"/>
    <w:family w:val="auto"/>
    <w:pitch w:val="default"/>
    <w:sig w:usb0="00000001" w:usb1="08000000" w:usb2="00000000" w:usb3="00000000" w:csb0="00040000" w:csb1="00000000"/>
    <w:embedRegular r:id="rId4" w:fontKey="{6055B1EF-1EA3-44B7-9CA9-334CA3C2CA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BC9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D2FDA">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B5D2FDA">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67E76"/>
    <w:rsid w:val="06346772"/>
    <w:rsid w:val="1EB606F1"/>
    <w:rsid w:val="375D3FE4"/>
    <w:rsid w:val="3A152ED8"/>
    <w:rsid w:val="40167E76"/>
    <w:rsid w:val="480F175C"/>
    <w:rsid w:val="4D877542"/>
    <w:rsid w:val="4EB15D2B"/>
    <w:rsid w:val="53A0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2025-01-14T09:11:00Z</dcterms:created>
  <dc:creator>哒博荣</dc:creator>
  <cp:lastModifiedBy>哒博荣</cp:lastModifiedBy>
  <dcterms:modified xsi:type="dcterms:W3CDTF">2025-01-14T09:11:53Z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D9DD76B814B44D6E981C8C709093EA3E_11</vt:lpwstr>
  </property>
  <property fmtid="{D5CDD505-2E9C-101B-9397-08002B2CF9AE}" pid="4" name="KSOTemplateDocerSaveRecord">
    <vt:lpwstr>eyJoZGlkIjoiZDY1MTVhMTQ5MmU4MWJjNWNiOTVjNmMwNDJhZDViMmYiLCJ1c2VySWQiOiI2NTA1NTc5NjcifQ==</vt:lpwstr>
  </property>
</Properties>
</file>