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line="560" w:lineRule="exact"/>
        <w:outlineLvl w:val="0"/>
        <w:rPr>
          <w:rFonts w:hint="eastAsia" w:ascii="黑体" w:hAnsi="黑体" w:eastAsia="黑体"/>
          <w:bCs/>
          <w:kern w:val="0"/>
          <w:sz w:val="28"/>
          <w:szCs w:val="28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附件5</w:t>
      </w:r>
    </w:p>
    <w:p>
      <w:pPr>
        <w:topLinePunct/>
        <w:adjustRightInd w:val="0"/>
        <w:snapToGrid w:val="0"/>
        <w:spacing w:line="560" w:lineRule="exact"/>
        <w:jc w:val="center"/>
        <w:outlineLvl w:val="0"/>
        <w:rPr>
          <w:rFonts w:hint="eastAsia" w:ascii="方正小标宋简体" w:eastAsia="方正小标宋简体"/>
          <w:bCs/>
          <w:kern w:val="32"/>
          <w:sz w:val="44"/>
          <w:szCs w:val="44"/>
        </w:rPr>
      </w:pPr>
      <w:r>
        <w:rPr>
          <w:rFonts w:hint="eastAsia" w:ascii="方正小标宋简体" w:eastAsia="方正小标宋简体"/>
          <w:bCs/>
          <w:kern w:val="32"/>
          <w:sz w:val="44"/>
          <w:szCs w:val="44"/>
        </w:rPr>
        <w:t xml:space="preserve"> </w:t>
      </w:r>
    </w:p>
    <w:p>
      <w:pPr>
        <w:topLinePunct/>
        <w:adjustRightInd w:val="0"/>
        <w:snapToGrid w:val="0"/>
        <w:spacing w:line="560" w:lineRule="exact"/>
        <w:jc w:val="center"/>
        <w:outlineLvl w:val="0"/>
        <w:rPr>
          <w:rFonts w:hint="eastAsia" w:ascii="方正小标宋简体" w:eastAsia="方正小标宋简体"/>
          <w:bCs/>
          <w:kern w:val="32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kern w:val="32"/>
          <w:sz w:val="44"/>
          <w:szCs w:val="44"/>
        </w:rPr>
        <w:t>出租汽车专用</w:t>
      </w:r>
      <w:r>
        <w:rPr>
          <w:rFonts w:hint="eastAsia" w:ascii="方正小标宋简体" w:eastAsia="方正小标宋简体"/>
          <w:bCs/>
          <w:kern w:val="21"/>
          <w:sz w:val="44"/>
          <w:szCs w:val="44"/>
        </w:rPr>
        <w:t>充换电站运营</w:t>
      </w:r>
      <w:r>
        <w:rPr>
          <w:rFonts w:hint="eastAsia" w:ascii="方正小标宋简体" w:eastAsia="方正小标宋简体"/>
          <w:bCs/>
          <w:kern w:val="32"/>
          <w:sz w:val="44"/>
          <w:szCs w:val="44"/>
        </w:rPr>
        <w:t>考核标准</w:t>
      </w:r>
      <w:bookmarkEnd w:id="0"/>
    </w:p>
    <w:p>
      <w:pPr>
        <w:topLinePunct/>
        <w:adjustRightInd w:val="0"/>
        <w:snapToGrid w:val="0"/>
        <w:spacing w:line="560" w:lineRule="exact"/>
        <w:jc w:val="center"/>
        <w:outlineLvl w:val="0"/>
        <w:rPr>
          <w:rFonts w:hint="eastAsia" w:ascii="黑体" w:hAnsi="宋体" w:eastAsia="黑体"/>
          <w:bCs/>
          <w:kern w:val="32"/>
          <w:sz w:val="36"/>
          <w:szCs w:val="36"/>
        </w:rPr>
      </w:pPr>
      <w:r>
        <w:rPr>
          <w:rFonts w:hint="eastAsia" w:ascii="黑体" w:hAnsi="宋体" w:eastAsia="黑体"/>
          <w:bCs/>
          <w:kern w:val="32"/>
          <w:sz w:val="36"/>
          <w:szCs w:val="36"/>
        </w:rPr>
        <w:t xml:space="preserve"> </w:t>
      </w:r>
    </w:p>
    <w:p>
      <w:pPr>
        <w:topLinePunct/>
        <w:adjustRightInd w:val="0"/>
        <w:snapToGrid w:val="0"/>
        <w:spacing w:line="560" w:lineRule="exact"/>
        <w:ind w:firstLine="640" w:firstLineChars="200"/>
        <w:outlineLvl w:val="0"/>
        <w:rPr>
          <w:rFonts w:hint="eastAsia" w:ascii="仿宋_GB2312" w:eastAsia="仿宋_GB2312"/>
          <w:bCs/>
          <w:kern w:val="32"/>
          <w:sz w:val="32"/>
          <w:szCs w:val="32"/>
        </w:rPr>
      </w:pPr>
      <w:r>
        <w:rPr>
          <w:rFonts w:hint="eastAsia" w:ascii="仿宋_GB2312" w:eastAsia="仿宋_GB2312"/>
          <w:bCs/>
          <w:kern w:val="32"/>
          <w:sz w:val="32"/>
          <w:szCs w:val="32"/>
        </w:rPr>
        <w:t>自出租汽车专用充换电站正式运营日期至年底为一个考核周期，考核周期内出现以下情况之一的，年度考核为不合格，</w:t>
      </w:r>
      <w:r>
        <w:rPr>
          <w:rFonts w:hint="eastAsia" w:ascii="仿宋_GB2312" w:eastAsia="仿宋_GB2312"/>
          <w:bCs/>
          <w:kern w:val="21"/>
          <w:sz w:val="32"/>
          <w:szCs w:val="32"/>
        </w:rPr>
        <w:t>取消当年度运营补贴资格</w:t>
      </w:r>
      <w:r>
        <w:rPr>
          <w:rFonts w:hint="eastAsia" w:ascii="仿宋_GB2312" w:eastAsia="仿宋_GB2312"/>
          <w:bCs/>
          <w:kern w:val="32"/>
          <w:sz w:val="32"/>
          <w:szCs w:val="32"/>
        </w:rPr>
        <w:t>：</w:t>
      </w:r>
    </w:p>
    <w:p>
      <w:pPr>
        <w:widowControl/>
        <w:topLinePunct/>
        <w:spacing w:line="600" w:lineRule="exact"/>
        <w:ind w:firstLine="640" w:firstLineChars="200"/>
        <w:jc w:val="left"/>
        <w:rPr>
          <w:rFonts w:hint="eastAsia"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1.运营过程中发生人员死亡的事件。</w:t>
      </w:r>
    </w:p>
    <w:p>
      <w:pPr>
        <w:widowControl/>
        <w:topLinePunct/>
        <w:spacing w:line="600" w:lineRule="exact"/>
        <w:ind w:firstLine="640" w:firstLineChars="200"/>
        <w:jc w:val="left"/>
        <w:rPr>
          <w:rFonts w:hint="eastAsia"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2.投诉率（年度经核实确定的巡游出租汽车司机关于充换电站的投诉数量÷年度换电巡游出租汽车车次≥3件/百车次）</w:t>
      </w:r>
    </w:p>
    <w:p>
      <w:pPr>
        <w:topLinePunct/>
        <w:spacing w:line="600" w:lineRule="exact"/>
        <w:ind w:firstLine="640" w:firstLineChars="200"/>
        <w:rPr>
          <w:rFonts w:hint="eastAsia" w:ascii="仿宋_GB2312" w:eastAsia="仿宋_GB2312"/>
          <w:bCs/>
          <w:kern w:val="21"/>
          <w:sz w:val="32"/>
          <w:szCs w:val="32"/>
        </w:rPr>
      </w:pPr>
      <w:r>
        <w:rPr>
          <w:rFonts w:hint="eastAsia" w:ascii="仿宋_GB2312" w:eastAsia="仿宋_GB2312"/>
          <w:bCs/>
          <w:kern w:val="21"/>
          <w:sz w:val="32"/>
          <w:szCs w:val="32"/>
        </w:rPr>
        <w:t>3.</w:t>
      </w:r>
      <w:r>
        <w:rPr>
          <w:rFonts w:hint="eastAsia" w:ascii="仿宋_GB2312" w:eastAsia="仿宋_GB2312"/>
          <w:bCs/>
          <w:kern w:val="0"/>
          <w:sz w:val="32"/>
          <w:szCs w:val="32"/>
        </w:rPr>
        <w:t>出租汽车专用充换电站因服务不到位，或问题解决不及时，从业人员群体反映强烈或引发行业不稳定事件</w:t>
      </w:r>
      <w:r>
        <w:rPr>
          <w:rFonts w:hint="eastAsia" w:ascii="仿宋_GB2312" w:eastAsia="仿宋_GB2312"/>
          <w:bCs/>
          <w:kern w:val="21"/>
          <w:sz w:val="32"/>
          <w:szCs w:val="32"/>
        </w:rPr>
        <w:t>。</w:t>
      </w:r>
    </w:p>
    <w:p>
      <w:pPr>
        <w:topLinePunct/>
        <w:spacing w:line="600" w:lineRule="exact"/>
        <w:ind w:firstLine="640" w:firstLineChars="200"/>
        <w:rPr>
          <w:rFonts w:hint="eastAsia" w:ascii="仿宋_GB2312" w:eastAsia="仿宋_GB2312"/>
          <w:bCs/>
          <w:kern w:val="21"/>
          <w:sz w:val="32"/>
          <w:szCs w:val="32"/>
        </w:rPr>
      </w:pPr>
      <w:r>
        <w:rPr>
          <w:rFonts w:hint="eastAsia" w:ascii="仿宋_GB2312" w:eastAsia="仿宋_GB2312"/>
          <w:bCs/>
          <w:kern w:val="21"/>
          <w:sz w:val="32"/>
          <w:szCs w:val="32"/>
        </w:rPr>
        <w:t>4.</w:t>
      </w:r>
      <w:r>
        <w:rPr>
          <w:rFonts w:hint="eastAsia" w:ascii="仿宋_GB2312" w:eastAsia="仿宋_GB2312"/>
          <w:bCs/>
          <w:kern w:val="32"/>
          <w:sz w:val="32"/>
          <w:szCs w:val="32"/>
        </w:rPr>
        <w:t>出租汽车专用</w:t>
      </w:r>
      <w:r>
        <w:rPr>
          <w:rFonts w:hint="eastAsia" w:ascii="仿宋_GB2312" w:eastAsia="仿宋_GB2312"/>
          <w:bCs/>
          <w:kern w:val="21"/>
          <w:sz w:val="32"/>
          <w:szCs w:val="32"/>
        </w:rPr>
        <w:t>充换电站停运后，2个小时内未向当地交通运输主管部门报告。</w:t>
      </w:r>
    </w:p>
    <w:p>
      <w:pPr>
        <w:widowControl/>
        <w:topLinePunct/>
        <w:spacing w:line="600" w:lineRule="exact"/>
        <w:ind w:firstLine="640" w:firstLineChars="200"/>
        <w:jc w:val="left"/>
        <w:rPr>
          <w:rFonts w:hint="eastAsia"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5.缺少管理制度：安全生产管理制度、安全培训组织（培训照片、记录等资料）、应急预案、专业运维团队配备。</w:t>
      </w:r>
    </w:p>
    <w:p>
      <w:pPr>
        <w:topLinePunct/>
        <w:spacing w:line="600" w:lineRule="exact"/>
        <w:ind w:firstLine="640" w:firstLineChars="200"/>
        <w:rPr>
          <w:rFonts w:hint="eastAsia" w:ascii="仿宋_GB2312" w:eastAsia="仿宋_GB2312"/>
          <w:bCs/>
          <w:kern w:val="21"/>
          <w:sz w:val="32"/>
          <w:szCs w:val="32"/>
        </w:rPr>
      </w:pPr>
      <w:r>
        <w:rPr>
          <w:rFonts w:hint="eastAsia" w:ascii="仿宋_GB2312" w:eastAsia="仿宋_GB2312"/>
          <w:bCs/>
          <w:kern w:val="32"/>
          <w:sz w:val="32"/>
          <w:szCs w:val="32"/>
        </w:rPr>
        <w:t>6.</w:t>
      </w:r>
      <w:r>
        <w:rPr>
          <w:rFonts w:hint="eastAsia" w:ascii="仿宋_GB2312" w:eastAsia="仿宋_GB2312"/>
          <w:bCs/>
          <w:kern w:val="21"/>
          <w:sz w:val="32"/>
          <w:szCs w:val="32"/>
        </w:rPr>
        <w:t>出租汽车专用充换电站，未能保持充换电价格相对稳定（用电成本短期内波动较大的情况除外），或充换电的单位公里价格高于当地主流传统能源（油或气）价格。</w:t>
      </w:r>
    </w:p>
    <w:p>
      <w:pPr>
        <w:topLinePunct/>
        <w:spacing w:line="600" w:lineRule="exact"/>
        <w:ind w:firstLine="640" w:firstLineChars="200"/>
        <w:rPr>
          <w:rFonts w:hint="eastAsia" w:ascii="仿宋_GB2312" w:eastAsia="仿宋_GB2312"/>
          <w:bCs/>
          <w:kern w:val="32"/>
          <w:sz w:val="32"/>
          <w:szCs w:val="32"/>
        </w:rPr>
      </w:pPr>
      <w:r>
        <w:rPr>
          <w:rFonts w:hint="eastAsia" w:ascii="仿宋_GB2312" w:eastAsia="仿宋_GB2312"/>
          <w:bCs/>
          <w:kern w:val="21"/>
          <w:sz w:val="32"/>
          <w:szCs w:val="32"/>
        </w:rPr>
        <w:t>7.</w:t>
      </w:r>
      <w:r>
        <w:rPr>
          <w:rFonts w:hint="eastAsia" w:ascii="仿宋_GB2312" w:eastAsia="仿宋_GB2312"/>
          <w:kern w:val="21"/>
          <w:sz w:val="32"/>
          <w:szCs w:val="32"/>
        </w:rPr>
        <w:t>不满足</w:t>
      </w:r>
      <w:r>
        <w:rPr>
          <w:rFonts w:hint="eastAsia" w:ascii="仿宋_GB2312" w:eastAsia="仿宋_GB2312"/>
          <w:bCs/>
          <w:kern w:val="21"/>
          <w:sz w:val="32"/>
          <w:szCs w:val="32"/>
        </w:rPr>
        <w:t>出租汽车专用充换电站相关技术条件的</w:t>
      </w:r>
      <w:r>
        <w:rPr>
          <w:rFonts w:hint="eastAsia" w:ascii="仿宋_GB2312" w:eastAsia="仿宋_GB2312"/>
          <w:kern w:val="21"/>
          <w:sz w:val="32"/>
          <w:szCs w:val="32"/>
        </w:rPr>
        <w:t>。</w:t>
      </w:r>
      <w:r>
        <w:rPr>
          <w:rFonts w:hint="eastAsia" w:ascii="仿宋_GB2312" w:eastAsia="仿宋_GB2312"/>
          <w:bCs/>
          <w:kern w:val="32"/>
          <w:sz w:val="32"/>
          <w:szCs w:val="32"/>
        </w:rPr>
        <w:t xml:space="preserve">  </w:t>
      </w:r>
    </w:p>
    <w:p>
      <w:pPr>
        <w:topLinePunct/>
        <w:spacing w:line="600" w:lineRule="exact"/>
        <w:ind w:firstLine="640" w:firstLineChars="200"/>
        <w:rPr>
          <w:rFonts w:hint="eastAsia" w:ascii="仿宋_GB2312" w:eastAsia="仿宋_GB2312"/>
          <w:bCs/>
          <w:kern w:val="32"/>
          <w:sz w:val="32"/>
          <w:szCs w:val="32"/>
        </w:rPr>
      </w:pPr>
      <w:r>
        <w:rPr>
          <w:rFonts w:hint="eastAsia" w:ascii="仿宋_GB2312" w:eastAsia="仿宋_GB2312"/>
          <w:bCs/>
          <w:kern w:val="32"/>
          <w:sz w:val="32"/>
          <w:szCs w:val="32"/>
        </w:rPr>
        <w:t>8.检查发现存在严重安全隐患（表1、2）。</w:t>
      </w:r>
    </w:p>
    <w:p>
      <w:pPr>
        <w:topLinePunct/>
        <w:spacing w:line="560" w:lineRule="exact"/>
        <w:jc w:val="center"/>
        <w:rPr>
          <w:rFonts w:hint="eastAsia" w:ascii="黑体" w:hAnsi="宋体" w:eastAsia="黑体"/>
          <w:bCs/>
          <w:kern w:val="32"/>
          <w:sz w:val="28"/>
          <w:szCs w:val="28"/>
        </w:rPr>
      </w:pPr>
      <w:r>
        <w:rPr>
          <w:rFonts w:hint="eastAsia" w:ascii="黑体" w:hAnsi="宋体" w:eastAsia="黑体"/>
          <w:bCs/>
          <w:kern w:val="32"/>
          <w:sz w:val="28"/>
          <w:szCs w:val="28"/>
        </w:rPr>
        <w:t xml:space="preserve"> </w:t>
      </w:r>
    </w:p>
    <w:p>
      <w:pPr>
        <w:topLinePunct/>
        <w:spacing w:line="560" w:lineRule="exact"/>
        <w:jc w:val="center"/>
        <w:rPr>
          <w:rFonts w:hint="eastAsia" w:ascii="黑体" w:hAnsi="宋体" w:eastAsia="黑体"/>
          <w:bCs/>
          <w:kern w:val="32"/>
          <w:sz w:val="28"/>
          <w:szCs w:val="28"/>
        </w:rPr>
      </w:pPr>
      <w:r>
        <w:rPr>
          <w:rFonts w:hint="eastAsia" w:ascii="黑体" w:hAnsi="宋体" w:eastAsia="黑体"/>
          <w:bCs/>
          <w:kern w:val="32"/>
          <w:sz w:val="28"/>
          <w:szCs w:val="28"/>
        </w:rPr>
        <w:t xml:space="preserve"> </w:t>
      </w:r>
    </w:p>
    <w:p>
      <w:pPr>
        <w:topLinePunct/>
        <w:spacing w:line="560" w:lineRule="exact"/>
        <w:jc w:val="center"/>
        <w:rPr>
          <w:rFonts w:hint="eastAsia" w:ascii="黑体" w:hAnsi="宋体" w:eastAsia="黑体"/>
          <w:bCs/>
          <w:kern w:val="32"/>
          <w:sz w:val="28"/>
          <w:szCs w:val="28"/>
        </w:rPr>
      </w:pPr>
      <w:r>
        <w:rPr>
          <w:rFonts w:hint="eastAsia" w:ascii="黑体" w:hAnsi="黑体" w:eastAsia="黑体"/>
          <w:bCs/>
          <w:kern w:val="32"/>
          <w:sz w:val="28"/>
          <w:szCs w:val="28"/>
        </w:rPr>
        <w:t>表1 充电站严重隐患内容</w:t>
      </w:r>
    </w:p>
    <w:tbl>
      <w:tblPr>
        <w:tblStyle w:val="4"/>
        <w:tblW w:w="8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7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黑体" w:hAnsi="宋体" w:eastAsia="黑体"/>
                <w:bCs/>
                <w:kern w:val="3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kern w:val="32"/>
                <w:sz w:val="24"/>
                <w:szCs w:val="24"/>
              </w:rPr>
              <w:t>序号</w:t>
            </w:r>
          </w:p>
        </w:tc>
        <w:tc>
          <w:tcPr>
            <w:tcW w:w="7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黑体" w:hAnsi="宋体" w:eastAsia="黑体"/>
                <w:bCs/>
                <w:kern w:val="3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kern w:val="32"/>
                <w:sz w:val="24"/>
                <w:szCs w:val="24"/>
              </w:rPr>
              <w:t>严重隐患内容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7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left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未与充电车辆连接时，充电接口带危险电压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7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left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用户通过设备通风孔等开孔能接触到内部危险带电部件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7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left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拔枪后，充电接口危险电压泄放时间过长（&gt;1s）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4</w:t>
            </w:r>
          </w:p>
        </w:tc>
        <w:tc>
          <w:tcPr>
            <w:tcW w:w="7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left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模拟对地绝缘故障发生时，直流充电机没有相应保护措施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5</w:t>
            </w:r>
          </w:p>
        </w:tc>
        <w:tc>
          <w:tcPr>
            <w:tcW w:w="7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left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模拟BMS发送故障报文（过温、过流、过压）时，直流充电机没有响应，继续充电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6</w:t>
            </w:r>
          </w:p>
        </w:tc>
        <w:tc>
          <w:tcPr>
            <w:tcW w:w="7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left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直流充电机充电时过电流保护断路器动作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7</w:t>
            </w:r>
          </w:p>
        </w:tc>
        <w:tc>
          <w:tcPr>
            <w:tcW w:w="7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left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充电设备内部导电部位覆盖有潮湿物或铁屑等导电杂物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8</w:t>
            </w:r>
          </w:p>
        </w:tc>
        <w:tc>
          <w:tcPr>
            <w:tcW w:w="7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left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正常充电时，漏电保护装置动作（说明处于漏电状态）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9</w:t>
            </w:r>
          </w:p>
        </w:tc>
        <w:tc>
          <w:tcPr>
            <w:tcW w:w="7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left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模拟漏电情况发生时，漏电保护装置不动作（或未安装漏电保护装置）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10</w:t>
            </w:r>
          </w:p>
        </w:tc>
        <w:tc>
          <w:tcPr>
            <w:tcW w:w="7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left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接地连续性不完好，接地回路阻抗过大或断开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11</w:t>
            </w:r>
          </w:p>
        </w:tc>
        <w:tc>
          <w:tcPr>
            <w:tcW w:w="7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left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启动急停装置时，设备不能切断电源输入</w:t>
            </w:r>
          </w:p>
        </w:tc>
      </w:tr>
    </w:tbl>
    <w:p>
      <w:pPr>
        <w:topLinePunct/>
        <w:spacing w:line="560" w:lineRule="exact"/>
        <w:jc w:val="center"/>
        <w:rPr>
          <w:rFonts w:hint="eastAsia" w:ascii="黑体" w:hAnsi="宋体" w:eastAsia="黑体" w:cs="Calibri"/>
          <w:bCs/>
          <w:kern w:val="32"/>
          <w:sz w:val="28"/>
          <w:szCs w:val="28"/>
        </w:rPr>
      </w:pPr>
      <w:r>
        <w:rPr>
          <w:rFonts w:hint="eastAsia" w:ascii="黑体" w:hAnsi="宋体" w:eastAsia="黑体"/>
          <w:bCs/>
          <w:kern w:val="32"/>
          <w:sz w:val="28"/>
          <w:szCs w:val="28"/>
        </w:rPr>
        <w:t xml:space="preserve"> </w:t>
      </w:r>
    </w:p>
    <w:p>
      <w:pPr>
        <w:topLinePunct/>
        <w:spacing w:line="560" w:lineRule="exact"/>
        <w:jc w:val="center"/>
        <w:rPr>
          <w:rFonts w:hint="eastAsia" w:ascii="仿宋_GB2312" w:hAnsi="仿宋" w:eastAsia="仿宋_GB2312"/>
          <w:bCs/>
          <w:kern w:val="32"/>
          <w:szCs w:val="21"/>
        </w:rPr>
      </w:pPr>
      <w:r>
        <w:rPr>
          <w:rFonts w:hint="eastAsia" w:ascii="黑体" w:hAnsi="黑体" w:eastAsia="黑体"/>
          <w:bCs/>
          <w:kern w:val="32"/>
          <w:sz w:val="28"/>
          <w:szCs w:val="28"/>
        </w:rPr>
        <w:t>表2 换电站严重隐患内容</w:t>
      </w:r>
    </w:p>
    <w:tbl>
      <w:tblPr>
        <w:tblStyle w:val="4"/>
        <w:tblW w:w="8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7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黑体" w:hAnsi="宋体" w:eastAsia="黑体"/>
                <w:bCs/>
                <w:kern w:val="3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kern w:val="32"/>
                <w:sz w:val="24"/>
                <w:szCs w:val="24"/>
              </w:rPr>
              <w:t>序号</w:t>
            </w:r>
          </w:p>
        </w:tc>
        <w:tc>
          <w:tcPr>
            <w:tcW w:w="7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opLinePunct/>
              <w:jc w:val="center"/>
              <w:rPr>
                <w:rFonts w:hint="eastAsia" w:ascii="黑体" w:hAnsi="宋体" w:eastAsia="黑体"/>
                <w:bCs/>
                <w:kern w:val="3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kern w:val="32"/>
                <w:sz w:val="24"/>
                <w:szCs w:val="24"/>
              </w:rPr>
              <w:t>严重隐患内容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7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opLinePunct/>
              <w:jc w:val="left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换电站内未设置事故电池隔离措施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7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opLinePunct/>
              <w:jc w:val="left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充换电工作区存放易燃易爆物品、污染和腐蚀介质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7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opLinePunct/>
              <w:jc w:val="left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电池仓不具备温度调节功能，不具备烟雾报警功能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4</w:t>
            </w:r>
          </w:p>
        </w:tc>
        <w:tc>
          <w:tcPr>
            <w:tcW w:w="7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opLinePunct/>
              <w:jc w:val="left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充电架未采用框架组合结构，或有变形、污渍、倾斜，不牢固可靠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5</w:t>
            </w:r>
          </w:p>
        </w:tc>
        <w:tc>
          <w:tcPr>
            <w:tcW w:w="7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opLinePunct/>
              <w:jc w:val="left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供电系统容量不满足充换电、照明、监控、办公等用电要求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6</w:t>
            </w:r>
          </w:p>
        </w:tc>
        <w:tc>
          <w:tcPr>
            <w:tcW w:w="7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opLinePunct/>
              <w:jc w:val="left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变配电室的电缆沟无防水、排水措施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7</w:t>
            </w:r>
          </w:p>
        </w:tc>
        <w:tc>
          <w:tcPr>
            <w:tcW w:w="7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opLinePunct/>
              <w:jc w:val="left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电池更换监控系统不具备对电池箱充电状态、电池箱更换状态、设备运行状态、电池箱更换过程等进行监视和控制的功能，不具备电池储存环境监测功能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8</w:t>
            </w:r>
          </w:p>
        </w:tc>
        <w:tc>
          <w:tcPr>
            <w:tcW w:w="7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opLinePunct/>
              <w:jc w:val="left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未安装充电设施运行状态实时监控装置，或与监控平台不能有效连接，不能实现故障监测、系统化方式对过充实行冗余保护控制措施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9</w:t>
            </w:r>
          </w:p>
        </w:tc>
        <w:tc>
          <w:tcPr>
            <w:tcW w:w="7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opLinePunct/>
              <w:jc w:val="left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消防设备及防护器材不齐备，设备防雷保护装置不符合规范要求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10</w:t>
            </w:r>
          </w:p>
        </w:tc>
        <w:tc>
          <w:tcPr>
            <w:tcW w:w="7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opLinePunct/>
              <w:jc w:val="left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挪用消防器材，埋压和圈占消防设施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11</w:t>
            </w:r>
          </w:p>
        </w:tc>
        <w:tc>
          <w:tcPr>
            <w:tcW w:w="7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opLinePunct/>
              <w:jc w:val="left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换电站应急照明设施故障损坏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12</w:t>
            </w:r>
          </w:p>
        </w:tc>
        <w:tc>
          <w:tcPr>
            <w:tcW w:w="7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opLinePunct/>
              <w:jc w:val="left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对充配电设备的系统控制及保护功能（如接地保护连接、漏电保护、急停保护、线缆接口等电气绝缘及隔离防护）等不符合要求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13</w:t>
            </w:r>
          </w:p>
        </w:tc>
        <w:tc>
          <w:tcPr>
            <w:tcW w:w="7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opLinePunct/>
              <w:jc w:val="left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直流充电设备不具有故障监测告警功能，过流等电气安全保护功能不正常；充（换）电设备不具有电池极值设定自动保护功能；充（换）电设备不具有输出电压最高值过压保护控制功能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" w:hRule="atLeast"/>
          <w:jc w:val="center"/>
        </w:trPr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14</w:t>
            </w:r>
          </w:p>
        </w:tc>
        <w:tc>
          <w:tcPr>
            <w:tcW w:w="7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opLinePunct/>
              <w:jc w:val="left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4"/>
              </w:rPr>
              <w:t>无提供醒目且便于操作的急停按钮</w:t>
            </w:r>
          </w:p>
        </w:tc>
      </w:tr>
    </w:tbl>
    <w:p>
      <w:pPr>
        <w:topLinePunct/>
        <w:adjustRightInd w:val="0"/>
        <w:snapToGrid w:val="0"/>
        <w:spacing w:line="560" w:lineRule="exact"/>
        <w:outlineLvl w:val="0"/>
        <w:rPr>
          <w:rFonts w:hint="eastAsia" w:eastAsia="方正仿宋_GBK" w:cs="Calibri"/>
          <w:bCs/>
          <w:kern w:val="0"/>
          <w:sz w:val="28"/>
          <w:szCs w:val="28"/>
        </w:rPr>
      </w:pPr>
      <w:r>
        <w:rPr>
          <w:rFonts w:eastAsia="方正仿宋_GBK"/>
          <w:bCs/>
          <w:kern w:val="0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MmJhYTZkYWNlMWNjZDgzMjdjNDFlYWI3MmFmNjkifQ=="/>
  </w:docVars>
  <w:rsids>
    <w:rsidRoot w:val="52C14FBE"/>
    <w:rsid w:val="52C1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 w:line="240" w:lineRule="auto"/>
      <w:ind w:left="0" w:leftChars="0" w:firstLine="420"/>
    </w:pPr>
    <w:rPr>
      <w:rFonts w:ascii="Calibri" w:hAnsi="Calibri" w:eastAsia="宋体" w:cs="Times New Roman"/>
      <w:sz w:val="32"/>
      <w:szCs w:val="24"/>
    </w:rPr>
  </w:style>
  <w:style w:type="paragraph" w:styleId="3">
    <w:name w:val="Body Text Indent"/>
    <w:basedOn w:val="1"/>
    <w:next w:val="2"/>
    <w:qFormat/>
    <w:uiPriority w:val="0"/>
    <w:pPr>
      <w:spacing w:after="120" w:line="269" w:lineRule="auto"/>
      <w:ind w:left="420" w:leftChars="200" w:firstLine="200" w:firstLineChars="200"/>
    </w:pPr>
    <w:rPr>
      <w:rFonts w:ascii="Calibri" w:hAnsi="Calibri" w:eastAsia="仿宋" w:cs="Times New Roman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2023-08-30T09:30:00Z</dcterms:created>
  <dc:creator>哒博荣</dc:creator>
  <cp:lastModifiedBy>哒博荣</cp:lastModifiedBy>
  <dcterms:modified xsi:type="dcterms:W3CDTF">2023-08-30T09:31:00Z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59F725E3F3514FB39AC468DB4A011A68_11</vt:lpwstr>
  </property>
</Properties>
</file>