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0" w:lineRule="exact"/>
        <w:outlineLvl w:val="0"/>
        <w:rPr>
          <w:rFonts w:hint="eastAsia" w:eastAsia="黑体"/>
          <w:bCs/>
          <w:color w:val="auto"/>
          <w:kern w:val="0"/>
          <w:sz w:val="28"/>
          <w:szCs w:val="28"/>
        </w:rPr>
      </w:pPr>
      <w:r>
        <w:rPr>
          <w:rFonts w:hint="eastAsia" w:ascii="黑体" w:hAnsi="黑体" w:eastAsia="黑体" w:cs="黑体"/>
          <w:bCs/>
          <w:color w:val="auto"/>
          <w:kern w:val="0"/>
          <w:sz w:val="32"/>
          <w:szCs w:val="32"/>
          <w:lang w:bidi="ar"/>
        </w:rPr>
        <w:t>附件5</w:t>
      </w:r>
    </w:p>
    <w:p>
      <w:pPr>
        <w:topLinePunct/>
        <w:adjustRightInd w:val="0"/>
        <w:snapToGrid w:val="0"/>
        <w:spacing w:line="560" w:lineRule="exact"/>
        <w:jc w:val="center"/>
        <w:outlineLvl w:val="0"/>
        <w:rPr>
          <w:rFonts w:hint="eastAsia" w:ascii="方正小标宋简体" w:hAnsi="方正小标宋简体" w:eastAsia="方正小标宋简体" w:cs="方正小标宋简体"/>
          <w:bCs/>
          <w:snapToGrid w:val="0"/>
          <w:color w:val="auto"/>
          <w:kern w:val="32"/>
          <w:sz w:val="44"/>
          <w:szCs w:val="44"/>
          <w:lang w:bidi="ar"/>
        </w:rPr>
      </w:pPr>
    </w:p>
    <w:p>
      <w:pPr>
        <w:topLinePunct/>
        <w:adjustRightInd w:val="0"/>
        <w:snapToGrid w:val="0"/>
        <w:spacing w:line="560" w:lineRule="exact"/>
        <w:jc w:val="center"/>
        <w:outlineLvl w:val="0"/>
        <w:rPr>
          <w:rFonts w:ascii="方正小标宋简体" w:hAnsi="方正小标宋简体" w:eastAsia="方正小标宋简体" w:cs="方正小标宋简体"/>
          <w:bCs/>
          <w:color w:val="auto"/>
          <w:kern w:val="32"/>
          <w:sz w:val="44"/>
          <w:szCs w:val="44"/>
        </w:rPr>
      </w:pPr>
      <w:r>
        <w:rPr>
          <w:rFonts w:ascii="方正小标宋简体" w:hAnsi="方正小标宋简体" w:eastAsia="方正小标宋简体" w:cs="方正小标宋简体"/>
          <w:bCs/>
          <w:snapToGrid w:val="0"/>
          <w:color w:val="auto"/>
          <w:kern w:val="32"/>
          <w:sz w:val="44"/>
          <w:szCs w:val="44"/>
          <w:lang w:bidi="ar"/>
        </w:rPr>
        <w:t>出租汽车专用</w:t>
      </w:r>
      <w:r>
        <w:rPr>
          <w:rFonts w:ascii="方正小标宋简体" w:hAnsi="方正小标宋简体" w:eastAsia="方正小标宋简体" w:cs="方正小标宋简体"/>
          <w:bCs/>
          <w:color w:val="auto"/>
          <w:kern w:val="21"/>
          <w:sz w:val="44"/>
          <w:szCs w:val="44"/>
          <w:lang w:bidi="ar"/>
        </w:rPr>
        <w:t>充换电站运营</w:t>
      </w:r>
      <w:r>
        <w:rPr>
          <w:rFonts w:ascii="方正小标宋简体" w:hAnsi="方正小标宋简体" w:eastAsia="方正小标宋简体" w:cs="方正小标宋简体"/>
          <w:bCs/>
          <w:snapToGrid w:val="0"/>
          <w:color w:val="auto"/>
          <w:kern w:val="32"/>
          <w:sz w:val="44"/>
          <w:szCs w:val="44"/>
          <w:lang w:bidi="ar"/>
        </w:rPr>
        <w:t>考核标准</w:t>
      </w:r>
    </w:p>
    <w:p>
      <w:pPr>
        <w:spacing w:line="560" w:lineRule="exact"/>
        <w:jc w:val="both"/>
        <w:rPr>
          <w:rFonts w:hint="eastAsia" w:eastAsia="黑体"/>
          <w:bCs/>
          <w:color w:val="auto"/>
          <w:sz w:val="28"/>
        </w:rPr>
      </w:pPr>
    </w:p>
    <w:p>
      <w:pPr>
        <w:spacing w:line="560" w:lineRule="exact"/>
        <w:jc w:val="center"/>
        <w:rPr>
          <w:rFonts w:eastAsia="黑体"/>
          <w:bCs/>
          <w:color w:val="auto"/>
          <w:sz w:val="28"/>
        </w:rPr>
      </w:pPr>
      <w:r>
        <w:rPr>
          <w:rFonts w:hint="eastAsia" w:eastAsia="黑体"/>
          <w:bCs/>
          <w:color w:val="auto"/>
          <w:sz w:val="28"/>
          <w:lang w:eastAsia="zh-CN"/>
        </w:rPr>
        <w:t>表</w:t>
      </w:r>
      <w:r>
        <w:rPr>
          <w:rFonts w:hint="eastAsia" w:eastAsia="黑体"/>
          <w:bCs/>
          <w:color w:val="auto"/>
          <w:sz w:val="28"/>
          <w:lang w:val="en-US" w:eastAsia="zh-CN"/>
        </w:rPr>
        <w:t xml:space="preserve">1 </w:t>
      </w:r>
      <w:r>
        <w:rPr>
          <w:rFonts w:hint="eastAsia" w:eastAsia="黑体"/>
          <w:bCs/>
          <w:color w:val="auto"/>
          <w:sz w:val="28"/>
          <w:lang w:eastAsia="zh-CN"/>
        </w:rPr>
        <w:t>出租汽车专用</w:t>
      </w:r>
      <w:r>
        <w:rPr>
          <w:rFonts w:hint="eastAsia" w:eastAsia="黑体"/>
          <w:bCs/>
          <w:color w:val="auto"/>
          <w:sz w:val="28"/>
        </w:rPr>
        <w:t>充换电站考核评价指标体系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670"/>
        <w:gridCol w:w="900"/>
        <w:gridCol w:w="27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vMerge w:val="restart"/>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序号</w:t>
            </w:r>
          </w:p>
        </w:tc>
        <w:tc>
          <w:tcPr>
            <w:tcW w:w="3570" w:type="dxa"/>
            <w:gridSpan w:val="2"/>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充电站</w:t>
            </w:r>
          </w:p>
        </w:tc>
        <w:tc>
          <w:tcPr>
            <w:tcW w:w="3689" w:type="dxa"/>
            <w:gridSpan w:val="2"/>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换电站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vMerge w:val="continue"/>
            <w:noWrap w:val="0"/>
            <w:vAlign w:val="center"/>
          </w:tcPr>
          <w:p>
            <w:pPr>
              <w:widowControl/>
              <w:spacing w:line="360" w:lineRule="auto"/>
              <w:jc w:val="center"/>
              <w:rPr>
                <w:rFonts w:hint="eastAsia" w:ascii="黑体" w:hAnsi="黑体" w:eastAsia="黑体" w:cs="黑体"/>
                <w:b w:val="0"/>
                <w:bCs/>
                <w:color w:val="auto"/>
                <w:kern w:val="0"/>
                <w:sz w:val="24"/>
                <w:szCs w:val="24"/>
              </w:rPr>
            </w:pPr>
          </w:p>
        </w:tc>
        <w:tc>
          <w:tcPr>
            <w:tcW w:w="2670"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lang w:eastAsia="zh-CN"/>
              </w:rPr>
              <w:t>考核</w:t>
            </w:r>
            <w:r>
              <w:rPr>
                <w:rFonts w:hint="eastAsia" w:ascii="黑体" w:hAnsi="黑体" w:eastAsia="黑体" w:cs="黑体"/>
                <w:b w:val="0"/>
                <w:bCs/>
                <w:color w:val="auto"/>
                <w:kern w:val="0"/>
                <w:sz w:val="24"/>
                <w:szCs w:val="24"/>
              </w:rPr>
              <w:t>指标</w:t>
            </w:r>
          </w:p>
        </w:tc>
        <w:tc>
          <w:tcPr>
            <w:tcW w:w="900"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分值</w:t>
            </w:r>
          </w:p>
        </w:tc>
        <w:tc>
          <w:tcPr>
            <w:tcW w:w="2745"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lang w:eastAsia="zh-CN"/>
              </w:rPr>
              <w:t>考核</w:t>
            </w:r>
            <w:r>
              <w:rPr>
                <w:rFonts w:hint="eastAsia" w:ascii="黑体" w:hAnsi="黑体" w:eastAsia="黑体" w:cs="黑体"/>
                <w:b w:val="0"/>
                <w:bCs/>
                <w:color w:val="auto"/>
                <w:kern w:val="0"/>
                <w:sz w:val="24"/>
                <w:szCs w:val="24"/>
              </w:rPr>
              <w:t>指标</w:t>
            </w:r>
          </w:p>
        </w:tc>
        <w:tc>
          <w:tcPr>
            <w:tcW w:w="944"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1</w:t>
            </w:r>
          </w:p>
        </w:tc>
        <w:tc>
          <w:tcPr>
            <w:tcW w:w="2670"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平均故障率</w:t>
            </w:r>
          </w:p>
        </w:tc>
        <w:tc>
          <w:tcPr>
            <w:tcW w:w="900"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25</w:t>
            </w:r>
          </w:p>
        </w:tc>
        <w:tc>
          <w:tcPr>
            <w:tcW w:w="274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平均故障率</w:t>
            </w:r>
          </w:p>
        </w:tc>
        <w:tc>
          <w:tcPr>
            <w:tcW w:w="944"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2</w:t>
            </w:r>
          </w:p>
        </w:tc>
        <w:tc>
          <w:tcPr>
            <w:tcW w:w="2670"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平均利用率</w:t>
            </w:r>
          </w:p>
        </w:tc>
        <w:tc>
          <w:tcPr>
            <w:tcW w:w="900"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20</w:t>
            </w:r>
          </w:p>
        </w:tc>
        <w:tc>
          <w:tcPr>
            <w:tcW w:w="274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单次换电平均行驶里程</w:t>
            </w:r>
          </w:p>
        </w:tc>
        <w:tc>
          <w:tcPr>
            <w:tcW w:w="944"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c>
          <w:tcPr>
            <w:tcW w:w="2670"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w:t>
            </w:r>
          </w:p>
        </w:tc>
        <w:tc>
          <w:tcPr>
            <w:tcW w:w="900"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换电效率</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5</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故障解决及时性</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故障解决及时性</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6</w:t>
            </w:r>
          </w:p>
        </w:tc>
        <w:tc>
          <w:tcPr>
            <w:tcW w:w="2670"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设施管理及时性</w:t>
            </w:r>
          </w:p>
        </w:tc>
        <w:tc>
          <w:tcPr>
            <w:tcW w:w="900"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c>
          <w:tcPr>
            <w:tcW w:w="274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设施管理及时性</w:t>
            </w:r>
          </w:p>
        </w:tc>
        <w:tc>
          <w:tcPr>
            <w:tcW w:w="944" w:type="dxa"/>
            <w:noWrap w:val="0"/>
            <w:vAlign w:val="center"/>
          </w:tcPr>
          <w:p>
            <w:pPr>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7</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信息准确性</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信息准确性</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8</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投诉及舆情</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投诉及舆情</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状态变化推送及时率</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5</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谷电利用率</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状态固定推送及时率</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10</w:t>
            </w:r>
          </w:p>
        </w:tc>
        <w:tc>
          <w:tcPr>
            <w:tcW w:w="2745" w:type="dxa"/>
            <w:noWrap w:val="0"/>
            <w:vAlign w:val="center"/>
          </w:tcPr>
          <w:p>
            <w:pPr>
              <w:widowControl/>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换电站与服务车辆比例</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rPr>
            </w:pPr>
            <w:r>
              <w:rPr>
                <w:rFonts w:hint="eastAsia" w:ascii="仿宋_GB2312" w:hAnsi="仿宋_GB2312" w:eastAsia="仿宋_GB2312" w:cs="仿宋_GB2312"/>
                <w:bCs/>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5"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w:t>
            </w:r>
          </w:p>
        </w:tc>
        <w:tc>
          <w:tcPr>
            <w:tcW w:w="2670"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w:t>
            </w:r>
          </w:p>
        </w:tc>
        <w:tc>
          <w:tcPr>
            <w:tcW w:w="900"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w:t>
            </w:r>
          </w:p>
        </w:tc>
        <w:tc>
          <w:tcPr>
            <w:tcW w:w="2745" w:type="dxa"/>
            <w:noWrap w:val="0"/>
            <w:vAlign w:val="center"/>
          </w:tcPr>
          <w:p>
            <w:pPr>
              <w:widowControl/>
              <w:spacing w:line="360" w:lineRule="auto"/>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加分项：站体冬季保温、低温应对措施；换电优惠活动；有相应保险</w:t>
            </w:r>
          </w:p>
        </w:tc>
        <w:tc>
          <w:tcPr>
            <w:tcW w:w="944" w:type="dxa"/>
            <w:noWrap w:val="0"/>
            <w:vAlign w:val="center"/>
          </w:tcPr>
          <w:p>
            <w:pPr>
              <w:widowControl/>
              <w:spacing w:line="36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r>
    </w:tbl>
    <w:p>
      <w:pPr>
        <w:pStyle w:val="6"/>
        <w:rPr>
          <w:rFonts w:ascii="宋体" w:hAnsi="宋体"/>
          <w:bCs/>
          <w:color w:val="auto"/>
        </w:rPr>
      </w:pPr>
    </w:p>
    <w:p>
      <w:pPr>
        <w:spacing w:line="560" w:lineRule="exact"/>
        <w:jc w:val="center"/>
        <w:rPr>
          <w:rFonts w:hint="eastAsia" w:eastAsia="黑体"/>
          <w:bCs/>
          <w:color w:val="auto"/>
          <w:sz w:val="28"/>
        </w:rPr>
      </w:pPr>
      <w:r>
        <w:rPr>
          <w:rFonts w:hint="eastAsia" w:eastAsia="黑体"/>
          <w:bCs/>
          <w:color w:val="auto"/>
          <w:sz w:val="28"/>
          <w:lang w:eastAsia="zh-CN"/>
        </w:rPr>
        <w:t>表</w:t>
      </w:r>
      <w:r>
        <w:rPr>
          <w:rFonts w:hint="eastAsia" w:eastAsia="黑体"/>
          <w:bCs/>
          <w:color w:val="auto"/>
          <w:sz w:val="28"/>
          <w:lang w:val="en-US" w:eastAsia="zh-CN"/>
        </w:rPr>
        <w:t xml:space="preserve">2 </w:t>
      </w:r>
      <w:r>
        <w:rPr>
          <w:rFonts w:hint="eastAsia" w:eastAsia="黑体"/>
          <w:bCs/>
          <w:color w:val="auto"/>
          <w:sz w:val="28"/>
          <w:lang w:eastAsia="zh-CN"/>
        </w:rPr>
        <w:t>出租汽车专用</w:t>
      </w:r>
      <w:r>
        <w:rPr>
          <w:rFonts w:hint="eastAsia" w:eastAsia="黑体"/>
          <w:bCs/>
          <w:color w:val="auto"/>
          <w:sz w:val="28"/>
        </w:rPr>
        <w:t>充换电站考核等级确定规则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675"/>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1367"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序号</w:t>
            </w:r>
          </w:p>
        </w:tc>
        <w:tc>
          <w:tcPr>
            <w:tcW w:w="3675"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综合评分</w:t>
            </w:r>
          </w:p>
        </w:tc>
        <w:tc>
          <w:tcPr>
            <w:tcW w:w="3019" w:type="dxa"/>
            <w:noWrap w:val="0"/>
            <w:vAlign w:val="center"/>
          </w:tcPr>
          <w:p>
            <w:pPr>
              <w:widowControl/>
              <w:spacing w:line="360" w:lineRule="auto"/>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67"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367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[90，1</w:t>
            </w:r>
            <w:r>
              <w:rPr>
                <w:rFonts w:hint="eastAsia" w:ascii="仿宋_GB2312" w:hAnsi="仿宋_GB2312" w:eastAsia="仿宋_GB2312" w:cs="仿宋_GB2312"/>
                <w:bCs/>
                <w:color w:val="auto"/>
                <w:sz w:val="24"/>
                <w:szCs w:val="24"/>
                <w:lang w:val="en-US" w:eastAsia="zh-CN"/>
              </w:rPr>
              <w:t>05</w:t>
            </w:r>
            <w:r>
              <w:rPr>
                <w:rFonts w:hint="eastAsia" w:ascii="仿宋_GB2312" w:hAnsi="仿宋_GB2312" w:eastAsia="仿宋_GB2312" w:cs="仿宋_GB2312"/>
                <w:bCs/>
                <w:color w:val="auto"/>
                <w:sz w:val="24"/>
                <w:szCs w:val="24"/>
              </w:rPr>
              <w:t>]</w:t>
            </w:r>
          </w:p>
        </w:tc>
        <w:tc>
          <w:tcPr>
            <w:tcW w:w="3019"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367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80</w:t>
            </w:r>
            <w:r>
              <w:rPr>
                <w:rFonts w:hint="eastAsia" w:ascii="仿宋_GB2312" w:hAnsi="仿宋_GB2312" w:eastAsia="仿宋_GB2312" w:cs="仿宋_GB2312"/>
                <w:bCs/>
                <w:color w:val="auto"/>
                <w:sz w:val="24"/>
                <w:szCs w:val="24"/>
              </w:rPr>
              <w:t>，90)</w:t>
            </w:r>
          </w:p>
        </w:tc>
        <w:tc>
          <w:tcPr>
            <w:tcW w:w="3019"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67"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p>
        </w:tc>
        <w:tc>
          <w:tcPr>
            <w:tcW w:w="367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[60，</w:t>
            </w:r>
            <w:r>
              <w:rPr>
                <w:rFonts w:hint="eastAsia" w:ascii="仿宋_GB2312" w:hAnsi="仿宋_GB2312" w:eastAsia="仿宋_GB2312" w:cs="仿宋_GB2312"/>
                <w:bCs/>
                <w:color w:val="auto"/>
                <w:sz w:val="24"/>
                <w:szCs w:val="24"/>
                <w:lang w:val="en-US" w:eastAsia="zh-CN"/>
              </w:rPr>
              <w:t>80</w:t>
            </w:r>
            <w:r>
              <w:rPr>
                <w:rFonts w:hint="eastAsia" w:ascii="仿宋_GB2312" w:hAnsi="仿宋_GB2312" w:eastAsia="仿宋_GB2312" w:cs="仿宋_GB2312"/>
                <w:bCs/>
                <w:color w:val="auto"/>
                <w:sz w:val="24"/>
                <w:szCs w:val="24"/>
              </w:rPr>
              <w:t>)</w:t>
            </w:r>
          </w:p>
        </w:tc>
        <w:tc>
          <w:tcPr>
            <w:tcW w:w="3019"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67"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p>
        </w:tc>
        <w:tc>
          <w:tcPr>
            <w:tcW w:w="3675" w:type="dxa"/>
            <w:noWrap w:val="0"/>
            <w:vAlign w:val="center"/>
          </w:tcPr>
          <w:p>
            <w:pPr>
              <w:spacing w:line="36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[0，60)</w:t>
            </w:r>
          </w:p>
        </w:tc>
        <w:tc>
          <w:tcPr>
            <w:tcW w:w="3019" w:type="dxa"/>
            <w:noWrap w:val="0"/>
            <w:vAlign w:val="center"/>
          </w:tcPr>
          <w:p>
            <w:pPr>
              <w:spacing w:line="36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不合格</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、平均故障率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以充换电站为考核对象，平均故障率=站内</w:t>
      </w:r>
      <w:r>
        <w:rPr>
          <w:rFonts w:hint="eastAsia" w:ascii="仿宋_GB2312" w:hAnsi="仿宋_GB2312" w:eastAsia="仿宋_GB2312" w:cs="仿宋_GB2312"/>
          <w:bCs/>
          <w:color w:val="auto"/>
          <w:sz w:val="32"/>
          <w:szCs w:val="32"/>
          <w:lang w:eastAsia="zh-CN"/>
        </w:rPr>
        <w:t>停运</w:t>
      </w:r>
      <w:r>
        <w:rPr>
          <w:rFonts w:hint="eastAsia" w:ascii="仿宋_GB2312" w:hAnsi="仿宋_GB2312" w:eastAsia="仿宋_GB2312" w:cs="仿宋_GB2312"/>
          <w:bCs/>
          <w:color w:val="auto"/>
          <w:sz w:val="32"/>
          <w:szCs w:val="32"/>
        </w:rPr>
        <w:t>总时长/</w:t>
      </w:r>
      <w:r>
        <w:rPr>
          <w:rFonts w:hint="eastAsia" w:ascii="仿宋_GB2312" w:hAnsi="仿宋_GB2312" w:eastAsia="仿宋_GB2312" w:cs="仿宋_GB2312"/>
          <w:bCs/>
          <w:color w:val="auto"/>
          <w:sz w:val="32"/>
          <w:szCs w:val="32"/>
          <w:lang w:eastAsia="zh-CN"/>
        </w:rPr>
        <w:t>正常</w:t>
      </w:r>
      <w:r>
        <w:rPr>
          <w:rFonts w:hint="eastAsia" w:ascii="仿宋_GB2312" w:hAnsi="仿宋_GB2312" w:eastAsia="仿宋_GB2312" w:cs="仿宋_GB2312"/>
          <w:bCs/>
          <w:color w:val="auto"/>
          <w:sz w:val="32"/>
          <w:szCs w:val="32"/>
        </w:rPr>
        <w:t>在线总时长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该项得分=</w:t>
      </w:r>
      <w:r>
        <w:rPr>
          <w:rFonts w:hint="eastAsia" w:ascii="仿宋_GB2312" w:hAnsi="仿宋_GB2312" w:eastAsia="仿宋_GB2312" w:cs="仿宋_GB2312"/>
          <w:bCs/>
          <w:color w:val="auto"/>
          <w:sz w:val="32"/>
          <w:szCs w:val="32"/>
          <w:lang w:val="en-US" w:eastAsia="zh-CN"/>
        </w:rPr>
        <w:t>满</w:t>
      </w:r>
      <w:r>
        <w:rPr>
          <w:rFonts w:hint="eastAsia" w:ascii="仿宋_GB2312" w:hAnsi="仿宋_GB2312" w:eastAsia="仿宋_GB2312" w:cs="仿宋_GB2312"/>
          <w:bCs/>
          <w:color w:val="auto"/>
          <w:sz w:val="32"/>
          <w:szCs w:val="32"/>
        </w:rPr>
        <w:t>分×（1-平均故障率），得分按四舍五入保留四位小数。</w:t>
      </w:r>
      <w:r>
        <w:rPr>
          <w:rFonts w:hint="eastAsia" w:ascii="仿宋_GB2312" w:hAnsi="仿宋_GB2312" w:eastAsia="仿宋_GB2312" w:cs="仿宋_GB2312"/>
          <w:bCs/>
          <w:color w:val="auto"/>
          <w:sz w:val="32"/>
          <w:szCs w:val="32"/>
          <w:lang w:eastAsia="zh-CN"/>
        </w:rPr>
        <w:t>充换电站考核期间出现</w:t>
      </w:r>
      <w:r>
        <w:rPr>
          <w:rFonts w:hint="eastAsia" w:ascii="仿宋_GB2312" w:hAnsi="仿宋_GB2312" w:eastAsia="仿宋_GB2312" w:cs="仿宋_GB2312"/>
          <w:bCs/>
          <w:color w:val="auto"/>
          <w:sz w:val="32"/>
          <w:szCs w:val="32"/>
          <w:lang w:val="en-US" w:eastAsia="zh-CN"/>
        </w:rPr>
        <w:t>3次及以上故障且48小时内未恢复正常，此项不得分。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、平均利用率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以充电站为考核对象，平均利用率=充电量/（功率×服务时长）。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将充电站平均利用率由大到小排名，该项得分=</w:t>
      </w:r>
      <w:r>
        <w:rPr>
          <w:rFonts w:hint="eastAsia" w:ascii="仿宋_GB2312" w:hAnsi="仿宋_GB2312" w:eastAsia="仿宋_GB2312" w:cs="仿宋_GB2312"/>
          <w:bCs/>
          <w:color w:val="auto"/>
          <w:sz w:val="32"/>
          <w:szCs w:val="32"/>
          <w:lang w:val="en-US" w:eastAsia="zh-CN"/>
        </w:rPr>
        <w:t>满</w:t>
      </w:r>
      <w:r>
        <w:rPr>
          <w:rFonts w:hint="eastAsia" w:ascii="仿宋_GB2312" w:hAnsi="仿宋_GB2312" w:eastAsia="仿宋_GB2312" w:cs="仿宋_GB2312"/>
          <w:bCs/>
          <w:color w:val="auto"/>
          <w:sz w:val="32"/>
          <w:szCs w:val="32"/>
        </w:rPr>
        <w:t>分×（总站数-排名+1）/总站数，得分按四舍五入保留四位小数。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三、单次换电平均行驶里程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以换电站为考核对象，</w:t>
      </w:r>
      <w:r>
        <w:rPr>
          <w:rFonts w:hint="eastAsia" w:ascii="仿宋_GB2312" w:hAnsi="仿宋_GB2312" w:eastAsia="仿宋_GB2312" w:cs="仿宋_GB2312"/>
          <w:bCs/>
          <w:color w:val="auto"/>
          <w:sz w:val="32"/>
          <w:szCs w:val="32"/>
          <w:lang w:eastAsia="zh-CN"/>
        </w:rPr>
        <w:t>单次更换电池后车辆行驶里程</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将换电站</w:t>
      </w:r>
      <w:r>
        <w:rPr>
          <w:rFonts w:hint="eastAsia" w:ascii="仿宋_GB2312" w:hAnsi="仿宋_GB2312" w:eastAsia="仿宋_GB2312" w:cs="仿宋_GB2312"/>
          <w:bCs/>
          <w:color w:val="auto"/>
          <w:sz w:val="32"/>
          <w:szCs w:val="32"/>
          <w:lang w:eastAsia="zh-CN"/>
        </w:rPr>
        <w:t>换电平均行驶里程</w:t>
      </w:r>
      <w:r>
        <w:rPr>
          <w:rFonts w:hint="eastAsia" w:ascii="仿宋_GB2312" w:hAnsi="仿宋_GB2312" w:eastAsia="仿宋_GB2312" w:cs="仿宋_GB2312"/>
          <w:bCs/>
          <w:color w:val="auto"/>
          <w:sz w:val="32"/>
          <w:szCs w:val="32"/>
        </w:rPr>
        <w:t>由大到小排名，该项得分</w:t>
      </w:r>
      <w:r>
        <w:rPr>
          <w:rFonts w:hint="eastAsia" w:ascii="仿宋_GB2312" w:hAnsi="仿宋_GB2312" w:eastAsia="仿宋_GB2312" w:cs="仿宋_GB2312"/>
          <w:bCs/>
          <w:color w:val="auto"/>
          <w:sz w:val="32"/>
          <w:szCs w:val="32"/>
          <w:lang w:val="en-US" w:eastAsia="zh-CN"/>
        </w:rPr>
        <w:t>=满</w:t>
      </w:r>
      <w:r>
        <w:rPr>
          <w:rFonts w:hint="eastAsia" w:ascii="仿宋_GB2312" w:hAnsi="仿宋_GB2312" w:eastAsia="仿宋_GB2312" w:cs="仿宋_GB2312"/>
          <w:bCs/>
          <w:color w:val="auto"/>
          <w:sz w:val="32"/>
          <w:szCs w:val="32"/>
        </w:rPr>
        <w:t>分×（总站数-排名+1）/总站数，得分按四舍五入保留四位小数。</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四、换电效率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以换电站为考核对象，</w:t>
      </w:r>
      <w:r>
        <w:rPr>
          <w:rFonts w:hint="eastAsia" w:ascii="仿宋_GB2312" w:hAnsi="仿宋_GB2312" w:eastAsia="仿宋_GB2312" w:cs="仿宋_GB2312"/>
          <w:bCs/>
          <w:color w:val="auto"/>
          <w:sz w:val="32"/>
          <w:szCs w:val="32"/>
          <w:lang w:eastAsia="zh-CN"/>
        </w:rPr>
        <w:t>换电站更换车辆电池所需平均时间</w:t>
      </w:r>
      <w:r>
        <w:rPr>
          <w:rFonts w:hint="eastAsia" w:ascii="仿宋_GB2312" w:hAnsi="仿宋_GB2312" w:eastAsia="仿宋_GB2312" w:cs="仿宋_GB2312"/>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eastAsia="zh-CN"/>
        </w:rPr>
        <w:t>换电站更换车辆电池所需平均时间</w:t>
      </w:r>
      <w:r>
        <w:rPr>
          <w:rFonts w:hint="eastAsia" w:ascii="仿宋_GB2312" w:hAnsi="仿宋_GB2312" w:eastAsia="仿宋_GB2312" w:cs="仿宋_GB2312"/>
          <w:bCs/>
          <w:color w:val="auto"/>
          <w:sz w:val="32"/>
          <w:szCs w:val="32"/>
        </w:rPr>
        <w:t>由</w:t>
      </w:r>
      <w:r>
        <w:rPr>
          <w:rFonts w:hint="eastAsia" w:ascii="仿宋_GB2312" w:hAnsi="仿宋_GB2312" w:eastAsia="仿宋_GB2312" w:cs="仿宋_GB2312"/>
          <w:bCs/>
          <w:color w:val="auto"/>
          <w:sz w:val="32"/>
          <w:szCs w:val="32"/>
          <w:lang w:eastAsia="zh-CN"/>
        </w:rPr>
        <w:t>小</w:t>
      </w:r>
      <w:r>
        <w:rPr>
          <w:rFonts w:hint="eastAsia" w:ascii="仿宋_GB2312" w:hAnsi="仿宋_GB2312" w:eastAsia="仿宋_GB2312" w:cs="仿宋_GB2312"/>
          <w:bCs/>
          <w:color w:val="auto"/>
          <w:sz w:val="32"/>
          <w:szCs w:val="32"/>
        </w:rPr>
        <w:t>到</w:t>
      </w:r>
      <w:r>
        <w:rPr>
          <w:rFonts w:hint="eastAsia" w:ascii="仿宋_GB2312" w:hAnsi="仿宋_GB2312" w:eastAsia="仿宋_GB2312" w:cs="仿宋_GB2312"/>
          <w:bCs/>
          <w:color w:val="auto"/>
          <w:sz w:val="32"/>
          <w:szCs w:val="32"/>
          <w:lang w:eastAsia="zh-CN"/>
        </w:rPr>
        <w:t>大</w:t>
      </w:r>
      <w:r>
        <w:rPr>
          <w:rFonts w:hint="eastAsia" w:ascii="仿宋_GB2312" w:hAnsi="仿宋_GB2312" w:eastAsia="仿宋_GB2312" w:cs="仿宋_GB2312"/>
          <w:bCs/>
          <w:color w:val="auto"/>
          <w:sz w:val="32"/>
          <w:szCs w:val="32"/>
        </w:rPr>
        <w:t>排名，该项得分</w:t>
      </w:r>
      <w:r>
        <w:rPr>
          <w:rFonts w:hint="eastAsia" w:ascii="仿宋_GB2312" w:hAnsi="仿宋_GB2312" w:eastAsia="仿宋_GB2312" w:cs="仿宋_GB2312"/>
          <w:bCs/>
          <w:color w:val="auto"/>
          <w:sz w:val="32"/>
          <w:szCs w:val="32"/>
          <w:lang w:val="en-US" w:eastAsia="zh-CN"/>
        </w:rPr>
        <w:t>=满</w:t>
      </w:r>
      <w:r>
        <w:rPr>
          <w:rFonts w:hint="eastAsia" w:ascii="仿宋_GB2312" w:hAnsi="仿宋_GB2312" w:eastAsia="仿宋_GB2312" w:cs="仿宋_GB2312"/>
          <w:bCs/>
          <w:color w:val="auto"/>
          <w:sz w:val="32"/>
          <w:szCs w:val="32"/>
        </w:rPr>
        <w:t>分×（总站数-排名+1）/总站数，得分按四舍五入保留四位小数。</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、故障解决及时性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以充换电站为考核对象，对出现</w:t>
      </w:r>
      <w:r>
        <w:rPr>
          <w:rFonts w:hint="eastAsia" w:ascii="仿宋_GB2312" w:hAnsi="仿宋_GB2312" w:eastAsia="仿宋_GB2312" w:cs="仿宋_GB2312"/>
          <w:bCs/>
          <w:color w:val="auto"/>
          <w:sz w:val="32"/>
          <w:szCs w:val="32"/>
          <w:lang w:eastAsia="zh-CN"/>
        </w:rPr>
        <w:t>停运</w:t>
      </w:r>
      <w:r>
        <w:rPr>
          <w:rFonts w:hint="eastAsia" w:ascii="仿宋_GB2312" w:hAnsi="仿宋_GB2312" w:eastAsia="仿宋_GB2312" w:cs="仿宋_GB2312"/>
          <w:bCs/>
          <w:color w:val="auto"/>
          <w:sz w:val="32"/>
          <w:szCs w:val="32"/>
        </w:rPr>
        <w:t>问题，在</w:t>
      </w:r>
      <w:r>
        <w:rPr>
          <w:rFonts w:hint="eastAsia" w:ascii="仿宋_GB2312" w:hAnsi="仿宋_GB2312" w:eastAsia="仿宋_GB2312" w:cs="仿宋_GB2312"/>
          <w:bCs/>
          <w:color w:val="auto"/>
          <w:sz w:val="32"/>
          <w:szCs w:val="32"/>
          <w:lang w:val="en-US" w:eastAsia="zh-CN"/>
        </w:rPr>
        <w:t>48</w:t>
      </w:r>
      <w:r>
        <w:rPr>
          <w:rFonts w:hint="eastAsia" w:ascii="仿宋_GB2312" w:hAnsi="仿宋_GB2312" w:eastAsia="仿宋_GB2312" w:cs="仿宋_GB2312"/>
          <w:bCs/>
          <w:color w:val="auto"/>
          <w:sz w:val="32"/>
          <w:szCs w:val="32"/>
        </w:rPr>
        <w:t>小时之内排除，视为故障解决及时。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：考核期内每出现1次解决不及时，则该充换电站站该指标扣减</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分，扣完为止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72小时内未解决，一次扣5分。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六</w:t>
      </w:r>
      <w:r>
        <w:rPr>
          <w:rFonts w:hint="eastAsia" w:ascii="黑体" w:hAnsi="黑体" w:eastAsia="黑体" w:cs="黑体"/>
          <w:bCs/>
          <w:color w:val="auto"/>
          <w:sz w:val="32"/>
          <w:szCs w:val="32"/>
        </w:rPr>
        <w:t>、设施管理及时性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以充换电站为考核对象，以下3种情况被视为设施管理不及时：1.现场核查发现整站不通电或拆除；2.</w:t>
      </w:r>
      <w:r>
        <w:rPr>
          <w:rFonts w:hint="eastAsia" w:ascii="仿宋_GB2312" w:hAnsi="仿宋_GB2312" w:eastAsia="仿宋_GB2312" w:cs="仿宋_GB2312"/>
          <w:bCs/>
          <w:color w:val="auto"/>
          <w:sz w:val="32"/>
          <w:szCs w:val="32"/>
          <w:lang w:eastAsia="zh-CN"/>
        </w:rPr>
        <w:t>暂时</w:t>
      </w:r>
      <w:r>
        <w:rPr>
          <w:rFonts w:hint="eastAsia" w:ascii="仿宋_GB2312" w:hAnsi="仿宋_GB2312" w:eastAsia="仿宋_GB2312" w:cs="仿宋_GB2312"/>
          <w:bCs/>
          <w:color w:val="auto"/>
          <w:sz w:val="32"/>
          <w:szCs w:val="32"/>
        </w:rPr>
        <w:t>停运充换电站，未及时在现场公示停运信息，未在24小时内告知</w:t>
      </w:r>
      <w:r>
        <w:rPr>
          <w:rFonts w:hint="eastAsia" w:ascii="仿宋_GB2312" w:hAnsi="仿宋_GB2312" w:eastAsia="仿宋_GB2312" w:cs="仿宋_GB2312"/>
          <w:bCs/>
          <w:color w:val="auto"/>
          <w:sz w:val="32"/>
          <w:szCs w:val="32"/>
          <w:lang w:eastAsia="zh-CN"/>
        </w:rPr>
        <w:t>“运行监测”平台</w:t>
      </w:r>
      <w:r>
        <w:rPr>
          <w:rFonts w:hint="eastAsia" w:ascii="仿宋_GB2312" w:hAnsi="仿宋_GB2312" w:eastAsia="仿宋_GB2312" w:cs="仿宋_GB2312"/>
          <w:bCs/>
          <w:color w:val="auto"/>
          <w:sz w:val="32"/>
          <w:szCs w:val="32"/>
        </w:rPr>
        <w:t>；3.对接入</w:t>
      </w:r>
      <w:r>
        <w:rPr>
          <w:rFonts w:hint="eastAsia" w:ascii="仿宋_GB2312" w:hAnsi="仿宋_GB2312" w:eastAsia="仿宋_GB2312" w:cs="仿宋_GB2312"/>
          <w:bCs/>
          <w:color w:val="auto"/>
          <w:sz w:val="32"/>
          <w:szCs w:val="32"/>
          <w:lang w:eastAsia="zh-CN"/>
        </w:rPr>
        <w:t>“运行监测”</w:t>
      </w:r>
      <w:r>
        <w:rPr>
          <w:rFonts w:hint="eastAsia" w:ascii="仿宋_GB2312" w:hAnsi="仿宋_GB2312" w:eastAsia="仿宋_GB2312" w:cs="仿宋_GB2312"/>
          <w:bCs/>
          <w:color w:val="auto"/>
          <w:sz w:val="32"/>
          <w:szCs w:val="32"/>
        </w:rPr>
        <w:t>平台</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充换电站监测出现长期闲置、暂停运问题，在接到</w:t>
      </w:r>
      <w:r>
        <w:rPr>
          <w:rFonts w:hint="eastAsia" w:ascii="仿宋_GB2312" w:hAnsi="仿宋_GB2312" w:eastAsia="仿宋_GB2312" w:cs="仿宋_GB2312"/>
          <w:bCs/>
          <w:color w:val="auto"/>
          <w:sz w:val="32"/>
          <w:szCs w:val="32"/>
          <w:lang w:eastAsia="zh-CN"/>
        </w:rPr>
        <w:t>“运行监测”</w:t>
      </w:r>
      <w:r>
        <w:rPr>
          <w:rFonts w:hint="eastAsia" w:ascii="仿宋_GB2312" w:hAnsi="仿宋_GB2312" w:eastAsia="仿宋_GB2312" w:cs="仿宋_GB2312"/>
          <w:bCs/>
          <w:color w:val="auto"/>
          <w:sz w:val="32"/>
          <w:szCs w:val="32"/>
        </w:rPr>
        <w:t>平台通知24小时内未完成响应</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：若发现设施管理不</w:t>
      </w:r>
      <w:r>
        <w:rPr>
          <w:rFonts w:hint="eastAsia" w:ascii="仿宋_GB2312" w:hAnsi="仿宋_GB2312" w:eastAsia="仿宋_GB2312" w:cs="仿宋_GB2312"/>
          <w:bCs/>
          <w:color w:val="auto"/>
          <w:sz w:val="32"/>
          <w:szCs w:val="32"/>
          <w:lang w:eastAsia="zh-Hans"/>
        </w:rPr>
        <w:t>及时</w:t>
      </w:r>
      <w:r>
        <w:rPr>
          <w:rFonts w:hint="eastAsia" w:ascii="仿宋_GB2312" w:hAnsi="仿宋_GB2312" w:eastAsia="仿宋_GB2312" w:cs="仿宋_GB2312"/>
          <w:bCs/>
          <w:color w:val="auto"/>
          <w:sz w:val="32"/>
          <w:szCs w:val="32"/>
        </w:rPr>
        <w:t>，则取消该充换电站本年度奖励资格，且申报单位其余充换电站该指标扣减</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、信息准确性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以充换电站为考核对象，经现场核查发现设施数量、功率、运行状态等与申报单位向</w:t>
      </w:r>
      <w:r>
        <w:rPr>
          <w:rFonts w:hint="eastAsia" w:ascii="仿宋_GB2312" w:hAnsi="仿宋_GB2312" w:eastAsia="仿宋_GB2312" w:cs="仿宋_GB2312"/>
          <w:bCs/>
          <w:color w:val="auto"/>
          <w:sz w:val="32"/>
          <w:szCs w:val="32"/>
          <w:lang w:eastAsia="zh-CN"/>
        </w:rPr>
        <w:t>“运行监测”</w:t>
      </w:r>
      <w:r>
        <w:rPr>
          <w:rFonts w:hint="eastAsia" w:ascii="仿宋_GB2312" w:hAnsi="仿宋_GB2312" w:eastAsia="仿宋_GB2312" w:cs="仿宋_GB2312"/>
          <w:bCs/>
          <w:color w:val="auto"/>
          <w:sz w:val="32"/>
          <w:szCs w:val="32"/>
        </w:rPr>
        <w:t>平台报送/推送信息一致，则视为信息准确。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若发现设施数量、功率信息不准确，</w:t>
      </w:r>
      <w:r>
        <w:rPr>
          <w:rFonts w:hint="eastAsia" w:ascii="仿宋_GB2312" w:hAnsi="仿宋_GB2312" w:eastAsia="仿宋_GB2312" w:cs="仿宋_GB2312"/>
          <w:bCs/>
          <w:color w:val="auto"/>
          <w:sz w:val="32"/>
          <w:szCs w:val="32"/>
          <w:lang w:eastAsia="zh-Hans"/>
        </w:rPr>
        <w:t>发现一次</w:t>
      </w:r>
      <w:r>
        <w:rPr>
          <w:rFonts w:hint="eastAsia" w:ascii="仿宋_GB2312" w:hAnsi="仿宋_GB2312" w:eastAsia="仿宋_GB2312" w:cs="仿宋_GB2312"/>
          <w:bCs/>
          <w:color w:val="auto"/>
          <w:sz w:val="32"/>
          <w:szCs w:val="32"/>
        </w:rPr>
        <w:t>扣减5分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且申报单位其余充换电站该指标扣减</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分；若运行状态信息不准确，</w:t>
      </w:r>
      <w:r>
        <w:rPr>
          <w:rFonts w:hint="eastAsia" w:ascii="仿宋_GB2312" w:hAnsi="仿宋_GB2312" w:eastAsia="仿宋_GB2312" w:cs="仿宋_GB2312"/>
          <w:bCs/>
          <w:color w:val="auto"/>
          <w:sz w:val="32"/>
          <w:szCs w:val="32"/>
          <w:lang w:eastAsia="zh-Hans"/>
        </w:rPr>
        <w:t>发现一次</w:t>
      </w:r>
      <w:r>
        <w:rPr>
          <w:rFonts w:hint="eastAsia" w:ascii="仿宋_GB2312" w:hAnsi="仿宋_GB2312" w:eastAsia="仿宋_GB2312" w:cs="仿宋_GB2312"/>
          <w:bCs/>
          <w:color w:val="auto"/>
          <w:sz w:val="32"/>
          <w:szCs w:val="32"/>
        </w:rPr>
        <w:t>申报单位所有充换电站该指标扣减2分，扣完为止。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八</w:t>
      </w:r>
      <w:r>
        <w:rPr>
          <w:rFonts w:hint="eastAsia" w:ascii="黑体" w:hAnsi="黑体" w:eastAsia="黑体" w:cs="黑体"/>
          <w:bCs/>
          <w:color w:val="auto"/>
          <w:sz w:val="32"/>
          <w:szCs w:val="32"/>
        </w:rPr>
        <w:t>、投诉及舆情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以充换电站为考核对象，重点通过</w:t>
      </w:r>
      <w:r>
        <w:rPr>
          <w:rFonts w:hint="eastAsia" w:ascii="仿宋_GB2312" w:hAnsi="仿宋_GB2312" w:eastAsia="仿宋_GB2312" w:cs="仿宋_GB2312"/>
          <w:bCs/>
          <w:color w:val="auto"/>
          <w:sz w:val="32"/>
          <w:szCs w:val="32"/>
          <w:lang w:eastAsia="zh-CN"/>
        </w:rPr>
        <w:t>管理部门、</w:t>
      </w:r>
      <w:r>
        <w:rPr>
          <w:rFonts w:hint="eastAsia" w:ascii="仿宋_GB2312" w:hAnsi="仿宋_GB2312" w:eastAsia="仿宋_GB2312" w:cs="仿宋_GB2312"/>
          <w:bCs/>
          <w:color w:val="auto"/>
          <w:sz w:val="32"/>
          <w:szCs w:val="32"/>
        </w:rPr>
        <w:t>媒体考核用户对充换电站提供服务的满意度。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满分10分。以《</w:t>
      </w:r>
      <w:r>
        <w:rPr>
          <w:rFonts w:hint="eastAsia" w:ascii="仿宋_GB2312" w:hAnsi="仿宋_GB2312" w:eastAsia="仿宋_GB2312" w:cs="仿宋_GB2312"/>
          <w:bCs/>
          <w:color w:val="auto"/>
          <w:sz w:val="32"/>
          <w:szCs w:val="32"/>
          <w:lang w:eastAsia="zh-CN"/>
        </w:rPr>
        <w:t>舆情快报</w:t>
      </w:r>
      <w:r>
        <w:rPr>
          <w:rFonts w:hint="eastAsia" w:ascii="仿宋_GB2312" w:hAnsi="仿宋_GB2312" w:eastAsia="仿宋_GB2312" w:cs="仿宋_GB2312"/>
          <w:bCs/>
          <w:color w:val="auto"/>
          <w:sz w:val="32"/>
          <w:szCs w:val="32"/>
        </w:rPr>
        <w:t>》等渠道为依据，经核实收到1条投诉</w:t>
      </w:r>
      <w:r>
        <w:rPr>
          <w:rFonts w:hint="eastAsia" w:ascii="仿宋_GB2312" w:hAnsi="仿宋_GB2312" w:eastAsia="仿宋_GB2312" w:cs="仿宋_GB2312"/>
          <w:bCs/>
          <w:color w:val="auto"/>
          <w:sz w:val="32"/>
          <w:szCs w:val="32"/>
          <w:lang w:eastAsia="zh-CN"/>
        </w:rPr>
        <w:t>或舆情</w:t>
      </w:r>
      <w:r>
        <w:rPr>
          <w:rFonts w:hint="eastAsia" w:ascii="仿宋_GB2312" w:hAnsi="仿宋_GB2312" w:eastAsia="仿宋_GB2312" w:cs="仿宋_GB2312"/>
          <w:bCs/>
          <w:color w:val="auto"/>
          <w:sz w:val="32"/>
          <w:szCs w:val="32"/>
        </w:rPr>
        <w:t>，则对应充换电站扣减5分，扣完为止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申报单位其余充换电站该指标扣减</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九</w:t>
      </w:r>
      <w:r>
        <w:rPr>
          <w:rFonts w:hint="eastAsia" w:ascii="黑体" w:hAnsi="黑体" w:eastAsia="黑体" w:cs="黑体"/>
          <w:bCs/>
          <w:color w:val="auto"/>
          <w:sz w:val="32"/>
          <w:szCs w:val="32"/>
        </w:rPr>
        <w:t>、状态变化推送及时率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u w:val="single"/>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以充电站为考核对象，考核充电设施处于充电（忙）或空闲（闲）两种状态的信息推送及时性。状态变化推送及时率=一定时期内通过初筛且充电设施状态信息推送及时的充电订单数量/通过初筛的充电订单数量。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充电设施状态信息推送及时的充电订单是指充电订单中的充电开始时间、充电结束时间对应的充电设施状态变化与对应时刻前后5分钟之内推送至</w:t>
      </w:r>
      <w:r>
        <w:rPr>
          <w:rFonts w:hint="eastAsia" w:ascii="仿宋_GB2312" w:hAnsi="仿宋_GB2312" w:eastAsia="仿宋_GB2312" w:cs="仿宋_GB2312"/>
          <w:bCs/>
          <w:color w:val="auto"/>
          <w:sz w:val="32"/>
          <w:szCs w:val="32"/>
          <w:lang w:eastAsia="zh-CN"/>
        </w:rPr>
        <w:t>“运行监测”</w:t>
      </w:r>
      <w:r>
        <w:rPr>
          <w:rFonts w:hint="eastAsia" w:ascii="仿宋_GB2312" w:hAnsi="仿宋_GB2312" w:eastAsia="仿宋_GB2312" w:cs="仿宋_GB2312"/>
          <w:bCs/>
          <w:color w:val="auto"/>
          <w:sz w:val="32"/>
          <w:szCs w:val="32"/>
        </w:rPr>
        <w:t>平台的充电设施状态信息一致。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该项得分=</w:t>
      </w:r>
      <w:r>
        <w:rPr>
          <w:rFonts w:hint="eastAsia" w:ascii="仿宋_GB2312" w:hAnsi="仿宋_GB2312" w:eastAsia="仿宋_GB2312" w:cs="仿宋_GB2312"/>
          <w:bCs/>
          <w:color w:val="auto"/>
          <w:sz w:val="32"/>
          <w:szCs w:val="32"/>
          <w:lang w:eastAsia="zh-CN"/>
        </w:rPr>
        <w:t>满分</w:t>
      </w:r>
      <w:r>
        <w:rPr>
          <w:rFonts w:hint="eastAsia" w:ascii="仿宋_GB2312" w:hAnsi="仿宋_GB2312" w:eastAsia="仿宋_GB2312" w:cs="仿宋_GB2312"/>
          <w:bCs/>
          <w:color w:val="auto"/>
          <w:sz w:val="32"/>
          <w:szCs w:val="32"/>
        </w:rPr>
        <w:t>×充电设施状态变化推送及时率，得分按四舍五入保留四位小数。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十、谷电利用率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（一）指标解释：</w:t>
      </w:r>
      <w:r>
        <w:rPr>
          <w:rFonts w:hint="eastAsia" w:ascii="仿宋_GB2312" w:hAnsi="仿宋_GB2312" w:eastAsia="仿宋_GB2312" w:cs="仿宋_GB2312"/>
          <w:bCs/>
          <w:color w:val="auto"/>
          <w:sz w:val="32"/>
          <w:szCs w:val="32"/>
        </w:rPr>
        <w:t>以换电站为考核对象，谷电利用率=谷时段充电量/电池总充电量。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rPr>
        <w:t>将换电站谷电利用率由大到小排名，该项得分=</w:t>
      </w:r>
      <w:r>
        <w:rPr>
          <w:rFonts w:hint="eastAsia" w:ascii="仿宋_GB2312" w:hAnsi="仿宋_GB2312" w:eastAsia="仿宋_GB2312" w:cs="仿宋_GB2312"/>
          <w:bCs/>
          <w:color w:val="auto"/>
          <w:sz w:val="32"/>
          <w:szCs w:val="32"/>
          <w:lang w:val="en-US" w:eastAsia="zh-CN"/>
        </w:rPr>
        <w:t>满</w:t>
      </w:r>
      <w:r>
        <w:rPr>
          <w:rFonts w:hint="eastAsia" w:ascii="仿宋_GB2312" w:hAnsi="仿宋_GB2312" w:eastAsia="仿宋_GB2312" w:cs="仿宋_GB2312"/>
          <w:bCs/>
          <w:color w:val="auto"/>
          <w:sz w:val="32"/>
          <w:szCs w:val="32"/>
        </w:rPr>
        <w:t>分×（总站数-排名+1）/总站数，得分按四舍五入保留四位小数。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eastAsia="zh-CN"/>
        </w:rPr>
        <w:t>换电站与服务车辆比例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Cs/>
          <w:color w:val="auto"/>
          <w:sz w:val="32"/>
          <w:szCs w:val="32"/>
          <w:lang w:eastAsia="zh-CN"/>
        </w:rPr>
        <w:t>（一）指标解释：</w:t>
      </w:r>
      <w:r>
        <w:rPr>
          <w:rFonts w:hint="eastAsia" w:ascii="仿宋_GB2312" w:hAnsi="仿宋_GB2312" w:eastAsia="仿宋_GB2312" w:cs="仿宋_GB2312"/>
          <w:bCs/>
          <w:color w:val="auto"/>
          <w:sz w:val="32"/>
          <w:szCs w:val="32"/>
          <w:lang w:eastAsia="zh-CN"/>
        </w:rPr>
        <w:t>当地出租汽车专用换电站与支持换电服务的出租车（含网约车）比例。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rPr>
        <w:t>（二）计分方法：</w:t>
      </w:r>
      <w:r>
        <w:rPr>
          <w:rFonts w:hint="eastAsia" w:ascii="仿宋_GB2312" w:hAnsi="仿宋_GB2312" w:eastAsia="仿宋_GB2312" w:cs="仿宋_GB2312"/>
          <w:bCs/>
          <w:color w:val="auto"/>
          <w:sz w:val="32"/>
          <w:szCs w:val="32"/>
          <w:lang w:eastAsia="zh-CN"/>
        </w:rPr>
        <w:t>符合要求的换电站与支持服务车辆数比例大于等于</w:t>
      </w:r>
      <w:r>
        <w:rPr>
          <w:rFonts w:hint="eastAsia" w:ascii="仿宋_GB2312" w:hAnsi="仿宋_GB2312" w:eastAsia="仿宋_GB2312" w:cs="仿宋_GB2312"/>
          <w:bCs/>
          <w:color w:val="auto"/>
          <w:sz w:val="32"/>
          <w:szCs w:val="32"/>
          <w:lang w:val="en-US" w:eastAsia="zh-CN"/>
        </w:rPr>
        <w:t>1:100，每站得满分；比例范围1:101-1:125，每站得12分；比例范围1:126-1:150，每站得9分；比例小于1:151，每站得0分。当地考核的站小于等于2座，每站最高得6分。</w:t>
      </w:r>
    </w:p>
    <w:p>
      <w:pPr>
        <w:pStyle w:val="3"/>
        <w:keepNext w:val="0"/>
        <w:keepLines w:val="0"/>
        <w:pageBreakBefore w:val="0"/>
        <w:widowControl w:val="0"/>
        <w:kinsoku/>
        <w:overflowPunct/>
        <w:autoSpaceDE/>
        <w:autoSpaceDN/>
        <w:bidi w:val="0"/>
        <w:spacing w:line="60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十二、加分项</w:t>
      </w:r>
    </w:p>
    <w:p>
      <w:pPr>
        <w:keepNext w:val="0"/>
        <w:keepLines w:val="0"/>
        <w:pageBreakBefore w:val="0"/>
        <w:widowControl w:val="0"/>
        <w:kinsoku/>
        <w:overflowPunct/>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计分方法：换电站低温应对措施措施、换电优惠活动、购买相应保险。经核实，每项加</w:t>
      </w:r>
      <w:r>
        <w:rPr>
          <w:rFonts w:hint="eastAsia" w:ascii="仿宋_GB2312" w:hAnsi="仿宋_GB2312" w:eastAsia="仿宋_GB2312" w:cs="仿宋_GB2312"/>
          <w:bCs/>
          <w:color w:val="auto"/>
          <w:sz w:val="32"/>
          <w:szCs w:val="32"/>
          <w:lang w:val="en-US" w:eastAsia="zh-CN"/>
        </w:rPr>
        <w:t>2.5分，满分5分。</w:t>
      </w:r>
    </w:p>
    <w:p>
      <w:pPr>
        <w:topLinePunct/>
        <w:adjustRightInd w:val="0"/>
        <w:snapToGrid w:val="0"/>
        <w:spacing w:line="560" w:lineRule="exact"/>
        <w:ind w:firstLine="640" w:firstLineChars="200"/>
        <w:outlineLvl w:val="0"/>
        <w:rPr>
          <w:rFonts w:hint="eastAsia" w:ascii="仿宋_GB2312" w:hAnsi="仿宋_GB2312" w:eastAsia="仿宋_GB2312" w:cs="仿宋_GB2312"/>
          <w:bCs/>
          <w:color w:val="auto"/>
          <w:kern w:val="32"/>
          <w:sz w:val="32"/>
          <w:szCs w:val="32"/>
        </w:rPr>
      </w:pPr>
      <w:r>
        <w:rPr>
          <w:rFonts w:hint="eastAsia" w:ascii="仿宋_GB2312" w:hAnsi="仿宋_GB2312" w:eastAsia="仿宋_GB2312" w:cs="仿宋_GB2312"/>
          <w:bCs/>
          <w:snapToGrid w:val="0"/>
          <w:color w:val="auto"/>
          <w:kern w:val="32"/>
          <w:sz w:val="32"/>
          <w:szCs w:val="32"/>
          <w:lang w:bidi="ar"/>
        </w:rPr>
        <w:t>考核周期内出现以下情况之一的，年度考核为不合格，</w:t>
      </w:r>
      <w:r>
        <w:rPr>
          <w:rFonts w:hint="eastAsia" w:ascii="仿宋_GB2312" w:hAnsi="仿宋_GB2312" w:eastAsia="仿宋_GB2312" w:cs="仿宋_GB2312"/>
          <w:bCs/>
          <w:color w:val="auto"/>
          <w:kern w:val="21"/>
          <w:sz w:val="32"/>
          <w:szCs w:val="32"/>
          <w:lang w:bidi="ar"/>
        </w:rPr>
        <w:t>取消当年度运营补贴资格</w:t>
      </w:r>
      <w:r>
        <w:rPr>
          <w:rFonts w:hint="eastAsia" w:ascii="仿宋_GB2312" w:hAnsi="仿宋_GB2312" w:eastAsia="仿宋_GB2312" w:cs="仿宋_GB2312"/>
          <w:bCs/>
          <w:snapToGrid w:val="0"/>
          <w:color w:val="auto"/>
          <w:kern w:val="32"/>
          <w:sz w:val="32"/>
          <w:szCs w:val="32"/>
          <w:lang w:bidi="ar"/>
        </w:rPr>
        <w:t>：</w:t>
      </w:r>
    </w:p>
    <w:p>
      <w:pPr>
        <w:widowControl/>
        <w:topLinePunct/>
        <w:spacing w:line="600" w:lineRule="exact"/>
        <w:ind w:firstLine="640" w:firstLineChars="200"/>
        <w:jc w:val="left"/>
        <w:rPr>
          <w:rFonts w:hint="eastAsia" w:ascii="仿宋_GB2312" w:hAnsi="仿宋_GB2312" w:eastAsia="仿宋_GB2312" w:cs="仿宋_GB2312"/>
          <w:bCs/>
          <w:color w:val="auto"/>
          <w:kern w:val="0"/>
          <w:sz w:val="32"/>
          <w:szCs w:val="32"/>
          <w:lang w:bidi="ar"/>
        </w:rPr>
      </w:pPr>
      <w:r>
        <w:rPr>
          <w:rFonts w:hint="eastAsia" w:ascii="仿宋_GB2312" w:hAnsi="仿宋_GB2312" w:eastAsia="仿宋_GB2312" w:cs="仿宋_GB2312"/>
          <w:bCs/>
          <w:color w:val="auto"/>
          <w:kern w:val="0"/>
          <w:sz w:val="32"/>
          <w:szCs w:val="32"/>
          <w:lang w:bidi="ar"/>
        </w:rPr>
        <w:t>1.运营过程中发生人员死亡的事件。</w:t>
      </w:r>
    </w:p>
    <w:p>
      <w:pPr>
        <w:topLinePunct/>
        <w:spacing w:line="600" w:lineRule="exact"/>
        <w:ind w:firstLine="640" w:firstLineChars="200"/>
        <w:rPr>
          <w:rFonts w:hint="eastAsia" w:ascii="仿宋_GB2312" w:hAnsi="仿宋_GB2312" w:eastAsia="仿宋_GB2312" w:cs="仿宋_GB2312"/>
          <w:bCs/>
          <w:color w:val="auto"/>
          <w:kern w:val="21"/>
          <w:sz w:val="32"/>
          <w:szCs w:val="32"/>
          <w:lang w:eastAsia="zh-CN" w:bidi="ar"/>
        </w:rPr>
      </w:pPr>
      <w:r>
        <w:rPr>
          <w:rFonts w:hint="eastAsia" w:ascii="仿宋_GB2312" w:hAnsi="仿宋_GB2312" w:eastAsia="仿宋_GB2312" w:cs="仿宋_GB2312"/>
          <w:bCs/>
          <w:color w:val="auto"/>
          <w:kern w:val="21"/>
          <w:sz w:val="32"/>
          <w:szCs w:val="32"/>
          <w:lang w:val="en-US" w:eastAsia="zh-CN" w:bidi="ar"/>
        </w:rPr>
        <w:t>2</w:t>
      </w:r>
      <w:r>
        <w:rPr>
          <w:rFonts w:hint="eastAsia" w:ascii="仿宋_GB2312" w:hAnsi="仿宋_GB2312" w:eastAsia="仿宋_GB2312" w:cs="仿宋_GB2312"/>
          <w:bCs/>
          <w:color w:val="auto"/>
          <w:kern w:val="21"/>
          <w:sz w:val="32"/>
          <w:szCs w:val="32"/>
          <w:lang w:bidi="ar"/>
        </w:rPr>
        <w:t>.</w:t>
      </w:r>
      <w:r>
        <w:rPr>
          <w:rFonts w:hint="eastAsia" w:ascii="仿宋_GB2312" w:hAnsi="仿宋_GB2312" w:eastAsia="仿宋_GB2312" w:cs="仿宋_GB2312"/>
          <w:bCs/>
          <w:color w:val="auto"/>
          <w:kern w:val="21"/>
          <w:sz w:val="32"/>
          <w:szCs w:val="32"/>
          <w:lang w:eastAsia="zh-CN" w:bidi="ar"/>
        </w:rPr>
        <w:t>引发影响广泛的舆论事件。</w:t>
      </w:r>
    </w:p>
    <w:p>
      <w:pPr>
        <w:topLinePunct/>
        <w:spacing w:line="600" w:lineRule="exact"/>
        <w:ind w:firstLine="640" w:firstLineChars="200"/>
        <w:rPr>
          <w:rFonts w:hint="eastAsia" w:ascii="仿宋_GB2312" w:hAnsi="仿宋_GB2312" w:eastAsia="仿宋_GB2312" w:cs="仿宋_GB2312"/>
          <w:bCs/>
          <w:color w:val="auto"/>
          <w:kern w:val="21"/>
          <w:sz w:val="32"/>
          <w:szCs w:val="32"/>
          <w:lang w:bidi="ar"/>
        </w:rPr>
      </w:pPr>
      <w:r>
        <w:rPr>
          <w:rFonts w:hint="eastAsia" w:ascii="仿宋_GB2312" w:hAnsi="仿宋_GB2312" w:eastAsia="仿宋_GB2312" w:cs="仿宋_GB2312"/>
          <w:bCs/>
          <w:snapToGrid w:val="0"/>
          <w:color w:val="auto"/>
          <w:kern w:val="32"/>
          <w:sz w:val="32"/>
          <w:szCs w:val="32"/>
          <w:lang w:val="en-US" w:eastAsia="zh-CN" w:bidi="ar"/>
        </w:rPr>
        <w:t>3</w:t>
      </w:r>
      <w:r>
        <w:rPr>
          <w:rFonts w:hint="eastAsia" w:ascii="仿宋_GB2312" w:hAnsi="仿宋_GB2312" w:eastAsia="仿宋_GB2312" w:cs="仿宋_GB2312"/>
          <w:bCs/>
          <w:snapToGrid w:val="0"/>
          <w:color w:val="auto"/>
          <w:kern w:val="32"/>
          <w:sz w:val="32"/>
          <w:szCs w:val="32"/>
          <w:lang w:bidi="ar"/>
        </w:rPr>
        <w:t>.</w:t>
      </w:r>
      <w:r>
        <w:rPr>
          <w:rFonts w:hint="eastAsia" w:ascii="仿宋_GB2312" w:hAnsi="仿宋_GB2312" w:eastAsia="仿宋_GB2312" w:cs="仿宋_GB2312"/>
          <w:bCs/>
          <w:color w:val="auto"/>
          <w:kern w:val="21"/>
          <w:sz w:val="32"/>
          <w:szCs w:val="32"/>
          <w:lang w:bidi="ar"/>
        </w:rPr>
        <w:t>出租汽车专用充换电站，未能保持充换电价格相对稳定（用电成本短期内波动较大的情况除外），或充换电的单位公里价格高于当地主流传统能源（油或气）价格。</w:t>
      </w:r>
    </w:p>
    <w:p>
      <w:pPr>
        <w:topLinePunct/>
        <w:spacing w:line="600" w:lineRule="exact"/>
        <w:ind w:firstLine="640" w:firstLineChars="200"/>
        <w:rPr>
          <w:rFonts w:hint="eastAsia" w:ascii="仿宋_GB2312" w:hAnsi="仿宋_GB2312" w:eastAsia="仿宋_GB2312" w:cs="仿宋_GB2312"/>
          <w:bCs/>
          <w:snapToGrid w:val="0"/>
          <w:color w:val="auto"/>
          <w:kern w:val="32"/>
          <w:sz w:val="32"/>
          <w:szCs w:val="32"/>
          <w:lang w:bidi="ar"/>
        </w:rPr>
      </w:pPr>
      <w:r>
        <w:rPr>
          <w:rFonts w:hint="eastAsia" w:ascii="仿宋_GB2312" w:hAnsi="仿宋_GB2312" w:eastAsia="仿宋_GB2312" w:cs="仿宋_GB2312"/>
          <w:bCs/>
          <w:color w:val="auto"/>
          <w:kern w:val="21"/>
          <w:sz w:val="32"/>
          <w:szCs w:val="32"/>
          <w:lang w:val="en-US" w:eastAsia="zh-CN" w:bidi="ar"/>
        </w:rPr>
        <w:t>4</w:t>
      </w:r>
      <w:r>
        <w:rPr>
          <w:rFonts w:hint="eastAsia" w:ascii="仿宋_GB2312" w:hAnsi="仿宋_GB2312" w:eastAsia="仿宋_GB2312" w:cs="仿宋_GB2312"/>
          <w:bCs/>
          <w:color w:val="auto"/>
          <w:kern w:val="21"/>
          <w:sz w:val="32"/>
          <w:szCs w:val="32"/>
          <w:lang w:bidi="ar"/>
        </w:rPr>
        <w:t>.</w:t>
      </w:r>
      <w:r>
        <w:rPr>
          <w:rFonts w:hint="eastAsia" w:ascii="仿宋_GB2312" w:hAnsi="仿宋_GB2312" w:eastAsia="仿宋_GB2312" w:cs="仿宋_GB2312"/>
          <w:color w:val="auto"/>
          <w:kern w:val="21"/>
          <w:sz w:val="32"/>
          <w:szCs w:val="32"/>
          <w:lang w:bidi="ar"/>
        </w:rPr>
        <w:t>不满足</w:t>
      </w:r>
      <w:r>
        <w:rPr>
          <w:rFonts w:hint="eastAsia" w:ascii="仿宋_GB2312" w:hAnsi="仿宋_GB2312" w:eastAsia="仿宋_GB2312" w:cs="仿宋_GB2312"/>
          <w:bCs/>
          <w:color w:val="auto"/>
          <w:kern w:val="21"/>
          <w:sz w:val="32"/>
          <w:szCs w:val="32"/>
          <w:lang w:bidi="ar"/>
        </w:rPr>
        <w:t>出租汽车专用充换电站相关技术条件的</w:t>
      </w:r>
      <w:r>
        <w:rPr>
          <w:rFonts w:hint="eastAsia" w:ascii="仿宋_GB2312" w:hAnsi="仿宋_GB2312" w:eastAsia="仿宋_GB2312" w:cs="仿宋_GB2312"/>
          <w:color w:val="auto"/>
          <w:kern w:val="21"/>
          <w:sz w:val="32"/>
          <w:szCs w:val="32"/>
          <w:lang w:bidi="ar"/>
        </w:rPr>
        <w:t>。</w:t>
      </w:r>
    </w:p>
    <w:p>
      <w:pPr>
        <w:topLinePunct/>
        <w:spacing w:line="600" w:lineRule="exact"/>
        <w:ind w:firstLine="640" w:firstLineChars="200"/>
        <w:rPr>
          <w:rFonts w:hint="eastAsia" w:ascii="黑体" w:hAnsi="宋体" w:eastAsia="黑体" w:cs="黑体"/>
          <w:bCs/>
          <w:snapToGrid w:val="0"/>
          <w:color w:val="auto"/>
          <w:kern w:val="32"/>
          <w:sz w:val="28"/>
          <w:szCs w:val="32"/>
          <w:lang w:bidi="ar"/>
        </w:rPr>
      </w:pPr>
      <w:r>
        <w:rPr>
          <w:rFonts w:hint="eastAsia" w:ascii="仿宋_GB2312" w:hAnsi="仿宋_GB2312" w:eastAsia="仿宋_GB2312" w:cs="仿宋_GB2312"/>
          <w:bCs/>
          <w:snapToGrid w:val="0"/>
          <w:color w:val="auto"/>
          <w:kern w:val="32"/>
          <w:sz w:val="32"/>
          <w:szCs w:val="32"/>
          <w:lang w:val="en-US" w:eastAsia="zh-CN" w:bidi="ar"/>
        </w:rPr>
        <w:t>5</w:t>
      </w:r>
      <w:r>
        <w:rPr>
          <w:rFonts w:hint="eastAsia" w:ascii="仿宋_GB2312" w:hAnsi="仿宋_GB2312" w:eastAsia="仿宋_GB2312" w:cs="仿宋_GB2312"/>
          <w:bCs/>
          <w:snapToGrid w:val="0"/>
          <w:color w:val="auto"/>
          <w:kern w:val="32"/>
          <w:sz w:val="32"/>
          <w:szCs w:val="32"/>
          <w:lang w:bidi="ar"/>
        </w:rPr>
        <w:t>.检查发现存在严重安全隐患（表</w:t>
      </w:r>
      <w:r>
        <w:rPr>
          <w:rFonts w:hint="eastAsia" w:ascii="仿宋_GB2312" w:hAnsi="仿宋_GB2312" w:eastAsia="仿宋_GB2312" w:cs="仿宋_GB2312"/>
          <w:bCs/>
          <w:color w:val="auto"/>
          <w:kern w:val="32"/>
          <w:sz w:val="32"/>
          <w:szCs w:val="32"/>
          <w:lang w:val="en-US" w:eastAsia="zh-CN" w:bidi="ar"/>
        </w:rPr>
        <w:t>3</w:t>
      </w:r>
      <w:r>
        <w:rPr>
          <w:rFonts w:hint="eastAsia" w:ascii="仿宋_GB2312" w:hAnsi="仿宋_GB2312" w:eastAsia="仿宋_GB2312" w:cs="仿宋_GB2312"/>
          <w:bCs/>
          <w:snapToGrid w:val="0"/>
          <w:color w:val="auto"/>
          <w:kern w:val="32"/>
          <w:sz w:val="32"/>
          <w:szCs w:val="32"/>
          <w:lang w:bidi="ar"/>
        </w:rPr>
        <w:t>、</w:t>
      </w:r>
      <w:r>
        <w:rPr>
          <w:rFonts w:hint="eastAsia" w:ascii="仿宋_GB2312" w:hAnsi="仿宋_GB2312" w:eastAsia="仿宋_GB2312" w:cs="仿宋_GB2312"/>
          <w:bCs/>
          <w:color w:val="auto"/>
          <w:kern w:val="32"/>
          <w:sz w:val="32"/>
          <w:szCs w:val="32"/>
          <w:lang w:val="en-US" w:eastAsia="zh-CN" w:bidi="ar"/>
        </w:rPr>
        <w:t>4</w:t>
      </w:r>
      <w:r>
        <w:rPr>
          <w:rFonts w:hint="eastAsia" w:ascii="仿宋_GB2312" w:hAnsi="仿宋_GB2312" w:eastAsia="仿宋_GB2312" w:cs="仿宋_GB2312"/>
          <w:bCs/>
          <w:snapToGrid w:val="0"/>
          <w:color w:val="auto"/>
          <w:kern w:val="32"/>
          <w:sz w:val="32"/>
          <w:szCs w:val="32"/>
          <w:lang w:bidi="ar"/>
        </w:rPr>
        <w:t>）。</w:t>
      </w:r>
    </w:p>
    <w:p>
      <w:pPr>
        <w:topLinePunct/>
        <w:spacing w:line="560" w:lineRule="exact"/>
        <w:jc w:val="center"/>
        <w:rPr>
          <w:rFonts w:ascii="黑体" w:hAnsi="宋体" w:eastAsia="黑体" w:cs="黑体"/>
          <w:bCs/>
          <w:color w:val="auto"/>
          <w:kern w:val="32"/>
          <w:sz w:val="28"/>
          <w:szCs w:val="32"/>
        </w:rPr>
      </w:pPr>
      <w:r>
        <w:rPr>
          <w:rFonts w:hint="eastAsia" w:ascii="黑体" w:hAnsi="宋体" w:eastAsia="黑体" w:cs="黑体"/>
          <w:bCs/>
          <w:snapToGrid w:val="0"/>
          <w:color w:val="auto"/>
          <w:kern w:val="32"/>
          <w:sz w:val="28"/>
          <w:szCs w:val="32"/>
          <w:lang w:bidi="ar"/>
        </w:rPr>
        <w:t>表</w:t>
      </w:r>
      <w:r>
        <w:rPr>
          <w:rFonts w:hint="eastAsia" w:ascii="黑体" w:hAnsi="宋体" w:eastAsia="黑体" w:cs="黑体"/>
          <w:bCs/>
          <w:color w:val="auto"/>
          <w:kern w:val="32"/>
          <w:sz w:val="28"/>
          <w:szCs w:val="32"/>
          <w:lang w:val="en-US" w:eastAsia="zh-CN" w:bidi="ar"/>
        </w:rPr>
        <w:t>3</w:t>
      </w:r>
      <w:r>
        <w:rPr>
          <w:rFonts w:hint="eastAsia" w:ascii="黑体" w:hAnsi="宋体" w:eastAsia="黑体" w:cs="黑体"/>
          <w:bCs/>
          <w:color w:val="auto"/>
          <w:kern w:val="32"/>
          <w:sz w:val="28"/>
          <w:szCs w:val="32"/>
          <w:lang w:bidi="ar"/>
        </w:rPr>
        <w:t xml:space="preserve"> </w:t>
      </w:r>
      <w:r>
        <w:rPr>
          <w:rFonts w:hint="eastAsia" w:ascii="黑体" w:hAnsi="宋体" w:eastAsia="黑体" w:cs="黑体"/>
          <w:bCs/>
          <w:color w:val="auto"/>
          <w:kern w:val="32"/>
          <w:sz w:val="28"/>
          <w:szCs w:val="32"/>
          <w:lang w:eastAsia="zh-CN" w:bidi="ar"/>
        </w:rPr>
        <w:t>出租汽车专用</w:t>
      </w:r>
      <w:r>
        <w:rPr>
          <w:rFonts w:hint="eastAsia" w:ascii="黑体" w:hAnsi="宋体" w:eastAsia="黑体" w:cs="黑体"/>
          <w:bCs/>
          <w:snapToGrid w:val="0"/>
          <w:color w:val="auto"/>
          <w:kern w:val="32"/>
          <w:sz w:val="28"/>
          <w:szCs w:val="32"/>
          <w:lang w:bidi="ar"/>
        </w:rPr>
        <w:t>充电站严重隐患内容</w:t>
      </w:r>
    </w:p>
    <w:tbl>
      <w:tblPr>
        <w:tblStyle w:val="4"/>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ascii="黑体" w:hAnsi="宋体" w:eastAsia="黑体" w:cs="黑体"/>
                <w:bCs/>
                <w:snapToGrid w:val="0"/>
                <w:color w:val="auto"/>
                <w:kern w:val="32"/>
                <w:sz w:val="24"/>
              </w:rPr>
            </w:pPr>
            <w:r>
              <w:rPr>
                <w:rFonts w:hint="eastAsia" w:ascii="黑体" w:hAnsi="宋体" w:eastAsia="黑体" w:cs="黑体"/>
                <w:bCs/>
                <w:snapToGrid w:val="0"/>
                <w:color w:val="auto"/>
                <w:kern w:val="32"/>
                <w:sz w:val="24"/>
                <w:lang w:bidi="ar"/>
              </w:rPr>
              <w:t>序号</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ascii="黑体" w:hAnsi="宋体" w:eastAsia="黑体" w:cs="黑体"/>
                <w:bCs/>
                <w:snapToGrid w:val="0"/>
                <w:color w:val="auto"/>
                <w:kern w:val="32"/>
                <w:sz w:val="24"/>
              </w:rPr>
            </w:pPr>
            <w:r>
              <w:rPr>
                <w:rFonts w:hint="eastAsia" w:ascii="黑体" w:hAnsi="宋体" w:eastAsia="黑体" w:cs="黑体"/>
                <w:bCs/>
                <w:snapToGrid w:val="0"/>
                <w:color w:val="auto"/>
                <w:kern w:val="32"/>
                <w:sz w:val="24"/>
                <w:lang w:bidi="ar"/>
              </w:rPr>
              <w:t>严重隐患内容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未与充电车辆连接时，充电接口带危险电压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2</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用户通过设备通风孔等开孔能接触到内部危险带电部件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3</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拔枪后，充电接口危险电压泄放时间过长（</w:t>
            </w:r>
            <w:r>
              <w:rPr>
                <w:rFonts w:hint="eastAsia" w:ascii="仿宋_GB2312" w:hAnsi="仿宋_GB2312" w:eastAsia="仿宋_GB2312" w:cs="仿宋_GB2312"/>
                <w:bCs/>
                <w:color w:val="auto"/>
                <w:kern w:val="32"/>
                <w:sz w:val="24"/>
                <w:lang w:bidi="ar"/>
              </w:rPr>
              <w:t>&gt;1s</w:t>
            </w:r>
            <w:r>
              <w:rPr>
                <w:rFonts w:hint="eastAsia" w:ascii="仿宋_GB2312" w:hAnsi="仿宋_GB2312" w:eastAsia="仿宋_GB2312" w:cs="仿宋_GB2312"/>
                <w:bCs/>
                <w:snapToGrid w:val="0"/>
                <w:color w:val="auto"/>
                <w:kern w:val="3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4</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模拟对地绝缘故障发生时，直流充电机没有相应保护措施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5</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模拟</w:t>
            </w:r>
            <w:r>
              <w:rPr>
                <w:rFonts w:hint="eastAsia" w:ascii="仿宋_GB2312" w:hAnsi="仿宋_GB2312" w:eastAsia="仿宋_GB2312" w:cs="仿宋_GB2312"/>
                <w:bCs/>
                <w:color w:val="auto"/>
                <w:kern w:val="32"/>
                <w:sz w:val="24"/>
                <w:lang w:bidi="ar"/>
              </w:rPr>
              <w:t>BMS</w:t>
            </w:r>
            <w:r>
              <w:rPr>
                <w:rFonts w:hint="eastAsia" w:ascii="仿宋_GB2312" w:hAnsi="仿宋_GB2312" w:eastAsia="仿宋_GB2312" w:cs="仿宋_GB2312"/>
                <w:bCs/>
                <w:snapToGrid w:val="0"/>
                <w:color w:val="auto"/>
                <w:kern w:val="32"/>
                <w:sz w:val="24"/>
                <w:lang w:bidi="ar"/>
              </w:rPr>
              <w:t>发送故障报文（过温、过流、过压）时，直流充电机没有响应，继续充电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6</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直流充电机充电时过电流保护断路器动作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7</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充电设备内部导电部位覆盖有潮湿物或铁屑等导电杂物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8</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正常充电时，漏电保护装置动作（说明处于漏电状态）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9</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模拟漏电情况发生时，漏电保护装置不动作（或未安装漏电保护装置）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10</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接地连续性不完好，接地回路阻抗过大或断开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11</w:t>
            </w:r>
          </w:p>
        </w:tc>
        <w:tc>
          <w:tcPr>
            <w:tcW w:w="767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90"/>
              </w:tabs>
              <w:topLinePunct/>
              <w:spacing w:line="240" w:lineRule="auto"/>
              <w:jc w:val="left"/>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启动急停装置时，设备不能切断电源输入</w:t>
            </w:r>
          </w:p>
        </w:tc>
      </w:tr>
    </w:tbl>
    <w:p>
      <w:pPr>
        <w:topLinePunct/>
        <w:spacing w:line="560" w:lineRule="exact"/>
        <w:jc w:val="center"/>
        <w:rPr>
          <w:rFonts w:ascii="仿宋_GB2312" w:hAnsi="仿宋" w:eastAsia="仿宋_GB2312" w:cs="仿宋_GB2312"/>
          <w:bCs/>
          <w:snapToGrid w:val="0"/>
          <w:color w:val="auto"/>
          <w:kern w:val="32"/>
          <w:szCs w:val="21"/>
        </w:rPr>
      </w:pPr>
      <w:r>
        <w:rPr>
          <w:rFonts w:hint="eastAsia" w:ascii="黑体" w:hAnsi="宋体" w:eastAsia="黑体" w:cs="黑体"/>
          <w:bCs/>
          <w:snapToGrid w:val="0"/>
          <w:color w:val="auto"/>
          <w:kern w:val="32"/>
          <w:sz w:val="28"/>
          <w:szCs w:val="32"/>
          <w:lang w:bidi="ar"/>
        </w:rPr>
        <w:t>表</w:t>
      </w:r>
      <w:r>
        <w:rPr>
          <w:rFonts w:hint="eastAsia" w:ascii="黑体" w:hAnsi="宋体" w:eastAsia="黑体" w:cs="黑体"/>
          <w:bCs/>
          <w:color w:val="auto"/>
          <w:kern w:val="32"/>
          <w:sz w:val="28"/>
          <w:szCs w:val="32"/>
          <w:lang w:val="en-US" w:eastAsia="zh-CN" w:bidi="ar"/>
        </w:rPr>
        <w:t>4</w:t>
      </w:r>
      <w:r>
        <w:rPr>
          <w:rFonts w:hint="eastAsia" w:ascii="黑体" w:hAnsi="宋体" w:eastAsia="黑体" w:cs="黑体"/>
          <w:bCs/>
          <w:color w:val="auto"/>
          <w:kern w:val="32"/>
          <w:sz w:val="28"/>
          <w:szCs w:val="32"/>
          <w:lang w:bidi="ar"/>
        </w:rPr>
        <w:t xml:space="preserve"> </w:t>
      </w:r>
      <w:r>
        <w:rPr>
          <w:rFonts w:hint="eastAsia" w:ascii="黑体" w:hAnsi="宋体" w:eastAsia="黑体" w:cs="黑体"/>
          <w:bCs/>
          <w:color w:val="auto"/>
          <w:kern w:val="32"/>
          <w:sz w:val="28"/>
          <w:szCs w:val="32"/>
          <w:lang w:eastAsia="zh-CN" w:bidi="ar"/>
        </w:rPr>
        <w:t>出租汽车专用</w:t>
      </w:r>
      <w:r>
        <w:rPr>
          <w:rFonts w:hint="eastAsia" w:ascii="黑体" w:hAnsi="宋体" w:eastAsia="黑体" w:cs="黑体"/>
          <w:bCs/>
          <w:snapToGrid w:val="0"/>
          <w:color w:val="auto"/>
          <w:kern w:val="32"/>
          <w:sz w:val="28"/>
          <w:szCs w:val="32"/>
          <w:lang w:bidi="ar"/>
        </w:rPr>
        <w:t>换电站严重隐患内容</w:t>
      </w:r>
    </w:p>
    <w:tbl>
      <w:tblPr>
        <w:tblStyle w:val="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tblHeader/>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ascii="黑体" w:hAnsi="宋体" w:eastAsia="黑体" w:cs="黑体"/>
                <w:bCs/>
                <w:snapToGrid w:val="0"/>
                <w:color w:val="auto"/>
                <w:kern w:val="32"/>
                <w:sz w:val="24"/>
              </w:rPr>
            </w:pPr>
            <w:r>
              <w:rPr>
                <w:rFonts w:hint="eastAsia" w:ascii="黑体" w:hAnsi="宋体" w:eastAsia="黑体" w:cs="黑体"/>
                <w:bCs/>
                <w:snapToGrid w:val="0"/>
                <w:color w:val="auto"/>
                <w:kern w:val="32"/>
                <w:sz w:val="24"/>
                <w:lang w:bidi="ar"/>
              </w:rPr>
              <w:t>序号</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ascii="黑体" w:hAnsi="宋体" w:eastAsia="黑体" w:cs="黑体"/>
                <w:bCs/>
                <w:snapToGrid w:val="0"/>
                <w:color w:val="auto"/>
                <w:kern w:val="32"/>
                <w:sz w:val="24"/>
              </w:rPr>
            </w:pPr>
            <w:r>
              <w:rPr>
                <w:rFonts w:hint="eastAsia" w:ascii="黑体" w:hAnsi="宋体" w:eastAsia="黑体" w:cs="黑体"/>
                <w:bCs/>
                <w:snapToGrid w:val="0"/>
                <w:color w:val="auto"/>
                <w:kern w:val="32"/>
                <w:sz w:val="24"/>
                <w:lang w:bidi="ar"/>
              </w:rPr>
              <w:t>严重隐患内容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换电站内未设置事故电池隔离措施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2</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充换电工作区存放易燃易爆物品、污染和腐蚀介质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3</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电池仓不具备温度调节功能，不具备烟雾报警功能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4</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充电架未采用框架组合结构，或有变形、污渍、倾斜，不牢固可靠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5</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供电系统容量不满足充换电、照明、监控、办公等用电要求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6</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变配电室的电缆沟无防水、排水措施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5"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7</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电池更换监控系统不具备对电池箱充电状态、电池箱更换状态、设备运行状态、电池箱更换过程等进行监视和控制的功能，不具备电池储存环境监测功能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1"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8</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未安装充电设施运行状态实时监控装置，或与监控平台不能有效连接，不能实现故障监测、系统化方式对过充实行冗余保护控制措施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9</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消防设备及防护器材不齐备，设备防雷保护装置不符合规范要求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10</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挪用消防器材，埋压和圈占消防设施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11</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换电站应急照明设施故障损坏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1"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12</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对充配电设备的系统控制及保护功能（如接地保护连接、漏电保护、急停保护、线缆接口等电气绝缘及隔离防护）等不符合要求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13</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直流充电设备不具有故障监测告警功能，过流等电气安全保护功能不正常；充（换）电设备不具有电池极值设定自动保护功能；充（换）电设备不具有输出电压最高值过压保护控制功能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9" w:hRule="exac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center"/>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14</w:t>
            </w:r>
          </w:p>
        </w:tc>
        <w:tc>
          <w:tcPr>
            <w:tcW w:w="773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90"/>
              </w:tabs>
              <w:topLinePunct/>
              <w:spacing w:line="240" w:lineRule="auto"/>
              <w:jc w:val="both"/>
              <w:rPr>
                <w:rFonts w:hint="eastAsia" w:ascii="仿宋_GB2312" w:hAnsi="仿宋_GB2312" w:eastAsia="仿宋_GB2312" w:cs="仿宋_GB2312"/>
                <w:bCs/>
                <w:snapToGrid w:val="0"/>
                <w:color w:val="auto"/>
                <w:kern w:val="32"/>
                <w:sz w:val="24"/>
              </w:rPr>
            </w:pPr>
            <w:r>
              <w:rPr>
                <w:rFonts w:hint="eastAsia" w:ascii="仿宋_GB2312" w:hAnsi="仿宋_GB2312" w:eastAsia="仿宋_GB2312" w:cs="仿宋_GB2312"/>
                <w:bCs/>
                <w:snapToGrid w:val="0"/>
                <w:color w:val="auto"/>
                <w:kern w:val="32"/>
                <w:sz w:val="24"/>
                <w:lang w:bidi="ar"/>
              </w:rPr>
              <w:t>无提供醒目且便于操作的急停按钮</w:t>
            </w:r>
          </w:p>
        </w:tc>
      </w:tr>
    </w:tbl>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pStyle w:val="2"/>
        <w:rPr>
          <w:rFonts w:hint="eastAsia" w:ascii="方正小标宋简体" w:hAnsi="方正小标宋简体" w:eastAsia="方正小标宋简体" w:cs="方正小标宋简体"/>
          <w:color w:val="auto"/>
          <w:sz w:val="32"/>
          <w:szCs w:val="32"/>
        </w:rPr>
      </w:pPr>
    </w:p>
    <w:p>
      <w:pPr>
        <w:pStyle w:val="3"/>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pStyle w:val="2"/>
        <w:rPr>
          <w:rFonts w:hint="eastAsia" w:ascii="方正小标宋简体" w:hAnsi="方正小标宋简体" w:eastAsia="方正小标宋简体" w:cs="方正小标宋简体"/>
          <w:color w:val="auto"/>
          <w:sz w:val="32"/>
          <w:szCs w:val="32"/>
        </w:rPr>
      </w:pPr>
    </w:p>
    <w:p>
      <w:pPr>
        <w:pStyle w:val="3"/>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2E3NGU2MGUxYmRhMTljYzM0NDk4NWJhMjhkNDYifQ=="/>
  </w:docVars>
  <w:rsids>
    <w:rsidRoot w:val="3A143839"/>
    <w:rsid w:val="3A14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正文 New"/>
    <w:qFormat/>
    <w:uiPriority w:val="0"/>
    <w:pPr>
      <w:widowControl w:val="0"/>
      <w:jc w:val="both"/>
    </w:pPr>
    <w:rPr>
      <w:rFonts w:ascii="Times New Roman" w:hAnsi="Times New Roman" w:eastAsia="楷体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2024-03-19T08:50:00Z</dcterms:created>
  <dc:creator>润[發]</dc:creator>
  <cp:lastModifiedBy>润[發]</cp:lastModifiedBy>
  <dcterms:modified xsi:type="dcterms:W3CDTF">2024-03-19T08:52:39Z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9C66B452468849E2A48F3DA5A5359A66_11</vt:lpwstr>
  </property>
</Properties>
</file>